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F222B3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7A4D16" w:rsidP="007A4D16">
            <w:pPr>
              <w:rPr>
                <w:b/>
                <w:sz w:val="32"/>
                <w:szCs w:val="32"/>
              </w:rPr>
            </w:pPr>
            <w:r w:rsidRPr="007A4D16">
              <w:rPr>
                <w:b/>
                <w:sz w:val="32"/>
                <w:szCs w:val="32"/>
              </w:rPr>
              <w:t xml:space="preserve">POU „Ante Babić“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613111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15585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Trgovačka 6</w:t>
            </w:r>
            <w:r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613111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01057839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CC19B2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18516892519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69079E" w:rsidP="00054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12-202</w:t>
            </w:r>
            <w:r w:rsidR="00367FE8">
              <w:rPr>
                <w:b/>
                <w:sz w:val="24"/>
                <w:szCs w:val="24"/>
              </w:rPr>
              <w:t>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Pr="007A4D16" w:rsidRDefault="007A4D16" w:rsidP="007A4D16"/>
    <w:p w:rsidR="0069079E" w:rsidRPr="00651791" w:rsidRDefault="0069079E" w:rsidP="0069079E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69079E" w:rsidRPr="00651791" w:rsidRDefault="0069079E" w:rsidP="0069079E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367FE8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 do 31.12.202</w:t>
      </w:r>
      <w:r w:rsidR="00367FE8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</w:t>
      </w:r>
    </w:p>
    <w:p w:rsidR="0069079E" w:rsidRPr="00651791" w:rsidRDefault="0069079E" w:rsidP="0069079E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69079E" w:rsidRPr="00651791" w:rsidRDefault="0069079E" w:rsidP="0069079E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69079E" w:rsidRPr="00651791" w:rsidRDefault="0069079E" w:rsidP="0069079E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367FE8" w:rsidRPr="002C0A51" w:rsidRDefault="00367FE8" w:rsidP="00367FE8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Zakon o proračunu ( Narodne novine br. 87/08, 136/12,  15/15 i 144/2021)</w:t>
      </w:r>
    </w:p>
    <w:p w:rsidR="00367FE8" w:rsidRPr="002C0A51" w:rsidRDefault="00367FE8" w:rsidP="00367FE8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bookmarkStart w:id="0" w:name="_Hlk189120288"/>
      <w:r w:rsidRPr="002C0A51">
        <w:rPr>
          <w:sz w:val="24"/>
          <w:szCs w:val="24"/>
        </w:rPr>
        <w:t xml:space="preserve">Pravilnik o proračunskom računovodstvu i računskom planu (Narodne novine br. </w:t>
      </w:r>
      <w:r>
        <w:rPr>
          <w:sz w:val="24"/>
          <w:szCs w:val="24"/>
        </w:rPr>
        <w:t>158/2023</w:t>
      </w:r>
      <w:r w:rsidRPr="002C0A51">
        <w:rPr>
          <w:sz w:val="24"/>
          <w:szCs w:val="24"/>
        </w:rPr>
        <w:t>)</w:t>
      </w:r>
      <w:bookmarkEnd w:id="0"/>
    </w:p>
    <w:p w:rsidR="00367FE8" w:rsidRPr="002C0A51" w:rsidRDefault="00367FE8" w:rsidP="00367FE8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Pravilnik o financijskom izvještavanju u proračunskom računovodstvu (Narodne novine br. 3/15, 93/15, 135/15, 2/17, 28/17,112/18, 126/19</w:t>
      </w:r>
      <w:r>
        <w:rPr>
          <w:sz w:val="24"/>
          <w:szCs w:val="24"/>
        </w:rPr>
        <w:t>,37/22</w:t>
      </w:r>
      <w:r w:rsidRPr="002C0A51">
        <w:rPr>
          <w:sz w:val="24"/>
          <w:szCs w:val="24"/>
        </w:rPr>
        <w:t>)</w:t>
      </w:r>
    </w:p>
    <w:p w:rsidR="00367FE8" w:rsidRPr="002C0A51" w:rsidRDefault="00367FE8" w:rsidP="00367FE8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Proračun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367FE8" w:rsidRPr="002C0A51" w:rsidRDefault="00367FE8" w:rsidP="00367FE8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Odluka o izvršavanju proračuna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C31F84" w:rsidRPr="00367FE8" w:rsidRDefault="00367FE8" w:rsidP="00367F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FE8">
        <w:rPr>
          <w:sz w:val="24"/>
          <w:szCs w:val="24"/>
        </w:rPr>
        <w:t>Financijski plan ustanove kao sastavni dio Proračuna Grada Umaga</w:t>
      </w:r>
    </w:p>
    <w:p w:rsidR="00921128" w:rsidRPr="00200E37" w:rsidRDefault="00921128" w:rsidP="00BF7579">
      <w:pPr>
        <w:jc w:val="both"/>
        <w:rPr>
          <w:sz w:val="24"/>
          <w:szCs w:val="24"/>
        </w:rPr>
      </w:pPr>
    </w:p>
    <w:p w:rsidR="00921128" w:rsidRPr="00200E37" w:rsidRDefault="00915A7D" w:rsidP="00BF7579">
      <w:pPr>
        <w:jc w:val="both"/>
        <w:rPr>
          <w:sz w:val="24"/>
          <w:szCs w:val="24"/>
        </w:rPr>
      </w:pPr>
      <w:r w:rsidRPr="00200E37">
        <w:rPr>
          <w:sz w:val="24"/>
          <w:szCs w:val="24"/>
        </w:rPr>
        <w:t>POU Ante B</w:t>
      </w:r>
      <w:r w:rsidR="00921128" w:rsidRPr="00200E37">
        <w:rPr>
          <w:sz w:val="24"/>
          <w:szCs w:val="24"/>
        </w:rPr>
        <w:t xml:space="preserve">abić </w:t>
      </w:r>
      <w:r w:rsidRPr="00200E37">
        <w:rPr>
          <w:sz w:val="24"/>
          <w:szCs w:val="24"/>
        </w:rPr>
        <w:t xml:space="preserve"> je p</w:t>
      </w:r>
      <w:r w:rsidR="00A75017" w:rsidRPr="00200E37">
        <w:rPr>
          <w:sz w:val="24"/>
          <w:szCs w:val="24"/>
        </w:rPr>
        <w:t xml:space="preserve">roračunski korisnik Grada Umaga i </w:t>
      </w:r>
      <w:r w:rsidR="00921128" w:rsidRPr="00200E37">
        <w:rPr>
          <w:sz w:val="24"/>
          <w:szCs w:val="24"/>
        </w:rPr>
        <w:t xml:space="preserve">od 2009. </w:t>
      </w:r>
      <w:r w:rsidR="00E35A45" w:rsidRPr="00200E37">
        <w:rPr>
          <w:sz w:val="24"/>
          <w:szCs w:val="24"/>
        </w:rPr>
        <w:t>g</w:t>
      </w:r>
      <w:r w:rsidR="00A75017" w:rsidRPr="00200E37">
        <w:rPr>
          <w:sz w:val="24"/>
          <w:szCs w:val="24"/>
        </w:rPr>
        <w:t>odine u sustavu je  L</w:t>
      </w:r>
      <w:r w:rsidR="00921128" w:rsidRPr="00200E37">
        <w:rPr>
          <w:sz w:val="24"/>
          <w:szCs w:val="24"/>
        </w:rPr>
        <w:t>okalne riznice Grada Umaga.</w:t>
      </w:r>
    </w:p>
    <w:p w:rsidR="00A75017" w:rsidRDefault="00A75017" w:rsidP="00BF7579">
      <w:pPr>
        <w:jc w:val="both"/>
        <w:rPr>
          <w:sz w:val="24"/>
          <w:szCs w:val="24"/>
        </w:rPr>
      </w:pPr>
      <w:r w:rsidRPr="00200E37">
        <w:rPr>
          <w:sz w:val="24"/>
          <w:szCs w:val="24"/>
        </w:rPr>
        <w:t xml:space="preserve">Sukladno </w:t>
      </w:r>
      <w:r w:rsidR="00D13EEF">
        <w:rPr>
          <w:sz w:val="24"/>
          <w:szCs w:val="24"/>
        </w:rPr>
        <w:t>Odluci</w:t>
      </w:r>
      <w:r w:rsidRPr="00200E37">
        <w:rPr>
          <w:sz w:val="24"/>
          <w:szCs w:val="24"/>
        </w:rPr>
        <w:t xml:space="preserve"> o izvršavanju proračuna Grada Umaga za 20</w:t>
      </w:r>
      <w:r w:rsidR="00405F8C">
        <w:rPr>
          <w:sz w:val="24"/>
          <w:szCs w:val="24"/>
        </w:rPr>
        <w:t>2</w:t>
      </w:r>
      <w:r w:rsidR="00367FE8">
        <w:rPr>
          <w:sz w:val="24"/>
          <w:szCs w:val="24"/>
        </w:rPr>
        <w:t>4</w:t>
      </w:r>
      <w:r w:rsidRPr="00200E37">
        <w:rPr>
          <w:sz w:val="24"/>
          <w:szCs w:val="24"/>
        </w:rPr>
        <w:t>. godinu prioritetno se terete izvori financiranja vl</w:t>
      </w:r>
      <w:r w:rsidR="005C07A1" w:rsidRPr="00200E37">
        <w:rPr>
          <w:sz w:val="24"/>
          <w:szCs w:val="24"/>
        </w:rPr>
        <w:t>a</w:t>
      </w:r>
      <w:r w:rsidRPr="00200E37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367FE8" w:rsidRDefault="00367FE8" w:rsidP="00BF7579">
      <w:pPr>
        <w:jc w:val="both"/>
        <w:rPr>
          <w:sz w:val="24"/>
          <w:szCs w:val="24"/>
        </w:rPr>
      </w:pPr>
    </w:p>
    <w:p w:rsidR="00367FE8" w:rsidRDefault="00367FE8" w:rsidP="00BF7579">
      <w:pPr>
        <w:jc w:val="both"/>
        <w:rPr>
          <w:sz w:val="24"/>
          <w:szCs w:val="24"/>
        </w:rPr>
      </w:pPr>
    </w:p>
    <w:p w:rsidR="00367FE8" w:rsidRPr="00367FE8" w:rsidRDefault="00367FE8" w:rsidP="00367FE8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1128" w:rsidRPr="00200E37" w:rsidRDefault="00921128" w:rsidP="00200E3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200E37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obrazac BIL</w:t>
      </w:r>
    </w:p>
    <w:p w:rsidR="00921128" w:rsidRPr="00200E37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200E37" w:rsidRDefault="00054744" w:rsidP="00200E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Šifra B002 -  </w:t>
      </w:r>
      <w:r w:rsidR="007E35AF" w:rsidRPr="00200E37">
        <w:rPr>
          <w:b/>
          <w:sz w:val="24"/>
          <w:szCs w:val="24"/>
        </w:rPr>
        <w:t>razred 0</w:t>
      </w:r>
      <w:r w:rsidR="007E35AF" w:rsidRPr="00200E37">
        <w:rPr>
          <w:sz w:val="24"/>
          <w:szCs w:val="24"/>
        </w:rPr>
        <w:t xml:space="preserve"> </w:t>
      </w:r>
      <w:r w:rsidR="00B410BB" w:rsidRPr="00200E37">
        <w:rPr>
          <w:b/>
          <w:sz w:val="24"/>
          <w:szCs w:val="24"/>
        </w:rPr>
        <w:t xml:space="preserve">- </w:t>
      </w:r>
      <w:r w:rsidR="00921128" w:rsidRPr="00200E37">
        <w:rPr>
          <w:b/>
          <w:sz w:val="24"/>
          <w:szCs w:val="24"/>
        </w:rPr>
        <w:t>Nefinancijska imovina</w:t>
      </w:r>
    </w:p>
    <w:p w:rsidR="00E24B97" w:rsidRDefault="00164CA3" w:rsidP="00C77D57">
      <w:pPr>
        <w:jc w:val="both"/>
        <w:rPr>
          <w:sz w:val="24"/>
          <w:szCs w:val="24"/>
        </w:rPr>
      </w:pPr>
      <w:r w:rsidRPr="00200E37">
        <w:rPr>
          <w:sz w:val="24"/>
          <w:szCs w:val="24"/>
        </w:rPr>
        <w:t>Ukupna nefinancijsk</w:t>
      </w:r>
      <w:r w:rsidR="009D574F">
        <w:rPr>
          <w:sz w:val="24"/>
          <w:szCs w:val="24"/>
        </w:rPr>
        <w:t>a</w:t>
      </w:r>
      <w:r w:rsidRPr="00200E37">
        <w:rPr>
          <w:sz w:val="24"/>
          <w:szCs w:val="24"/>
        </w:rPr>
        <w:t xml:space="preserve"> imovina iznosi </w:t>
      </w:r>
      <w:r w:rsidR="00D70B62">
        <w:rPr>
          <w:sz w:val="24"/>
          <w:szCs w:val="24"/>
        </w:rPr>
        <w:t>32</w:t>
      </w:r>
      <w:r w:rsidR="00054744">
        <w:rPr>
          <w:sz w:val="24"/>
          <w:szCs w:val="24"/>
        </w:rPr>
        <w:t>.</w:t>
      </w:r>
      <w:r w:rsidR="00367FE8">
        <w:rPr>
          <w:sz w:val="24"/>
          <w:szCs w:val="24"/>
        </w:rPr>
        <w:t>458</w:t>
      </w:r>
      <w:r w:rsidR="00054744">
        <w:rPr>
          <w:sz w:val="24"/>
          <w:szCs w:val="24"/>
        </w:rPr>
        <w:t>,</w:t>
      </w:r>
      <w:r w:rsidR="00367FE8">
        <w:rPr>
          <w:sz w:val="24"/>
          <w:szCs w:val="24"/>
        </w:rPr>
        <w:t>20</w:t>
      </w:r>
      <w:r w:rsidRPr="00200E37">
        <w:rPr>
          <w:sz w:val="24"/>
          <w:szCs w:val="24"/>
        </w:rPr>
        <w:t xml:space="preserve"> </w:t>
      </w:r>
      <w:r w:rsidR="00D70B62">
        <w:rPr>
          <w:sz w:val="24"/>
          <w:szCs w:val="24"/>
        </w:rPr>
        <w:t>eura</w:t>
      </w:r>
      <w:r w:rsidRPr="00200E37">
        <w:rPr>
          <w:sz w:val="24"/>
          <w:szCs w:val="24"/>
        </w:rPr>
        <w:t xml:space="preserve"> s indeksom </w:t>
      </w:r>
      <w:r w:rsidR="00054744">
        <w:rPr>
          <w:sz w:val="24"/>
          <w:szCs w:val="24"/>
        </w:rPr>
        <w:t xml:space="preserve">ostvarenja </w:t>
      </w:r>
      <w:r w:rsidR="00367FE8">
        <w:rPr>
          <w:sz w:val="24"/>
          <w:szCs w:val="24"/>
        </w:rPr>
        <w:t>100,4</w:t>
      </w:r>
      <w:r w:rsidR="000E1523" w:rsidRPr="00200E37">
        <w:rPr>
          <w:sz w:val="24"/>
          <w:szCs w:val="24"/>
        </w:rPr>
        <w:t xml:space="preserve"> </w:t>
      </w:r>
      <w:r w:rsidRPr="00200E37">
        <w:rPr>
          <w:sz w:val="24"/>
          <w:szCs w:val="24"/>
        </w:rPr>
        <w:t xml:space="preserve">u odnosu na prethodnu godinu. </w:t>
      </w:r>
    </w:p>
    <w:p w:rsidR="00E70B56" w:rsidRDefault="00367FE8" w:rsidP="00C77D57">
      <w:pPr>
        <w:jc w:val="both"/>
        <w:rPr>
          <w:sz w:val="24"/>
          <w:szCs w:val="24"/>
        </w:rPr>
      </w:pPr>
      <w:r w:rsidRPr="00367FE8">
        <w:rPr>
          <w:noProof/>
          <w:lang w:eastAsia="hr-HR"/>
        </w:rPr>
        <w:drawing>
          <wp:inline distT="0" distB="0" distL="0" distR="0">
            <wp:extent cx="5760720" cy="1895622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28" w:rsidRPr="00200E37" w:rsidRDefault="00054744" w:rsidP="00200E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1 - </w:t>
      </w:r>
      <w:r w:rsidR="00B410BB" w:rsidRPr="00200E37">
        <w:rPr>
          <w:b/>
          <w:sz w:val="24"/>
          <w:szCs w:val="24"/>
        </w:rPr>
        <w:t xml:space="preserve"> </w:t>
      </w:r>
      <w:r w:rsidR="007E35AF" w:rsidRPr="00200E37">
        <w:rPr>
          <w:b/>
          <w:sz w:val="24"/>
          <w:szCs w:val="24"/>
        </w:rPr>
        <w:t>razred 1</w:t>
      </w:r>
      <w:r w:rsidR="007E35AF" w:rsidRPr="00200E37">
        <w:rPr>
          <w:sz w:val="24"/>
          <w:szCs w:val="24"/>
        </w:rPr>
        <w:t xml:space="preserve"> </w:t>
      </w:r>
      <w:r w:rsidR="00B410BB" w:rsidRPr="00200E37">
        <w:rPr>
          <w:sz w:val="24"/>
          <w:szCs w:val="24"/>
        </w:rPr>
        <w:t xml:space="preserve">- </w:t>
      </w:r>
      <w:r w:rsidR="00921128" w:rsidRPr="00200E37">
        <w:rPr>
          <w:b/>
          <w:sz w:val="24"/>
          <w:szCs w:val="24"/>
        </w:rPr>
        <w:t xml:space="preserve">Financijska imovina </w:t>
      </w:r>
    </w:p>
    <w:p w:rsidR="0037568A" w:rsidRDefault="00B93EB1" w:rsidP="00C77D57">
      <w:pPr>
        <w:jc w:val="both"/>
        <w:rPr>
          <w:sz w:val="24"/>
          <w:szCs w:val="24"/>
        </w:rPr>
      </w:pPr>
      <w:r w:rsidRPr="00200E37">
        <w:rPr>
          <w:sz w:val="24"/>
          <w:szCs w:val="24"/>
        </w:rPr>
        <w:t>Ukupna financijska imovina 20</w:t>
      </w:r>
      <w:r w:rsidR="00D319C9">
        <w:rPr>
          <w:sz w:val="24"/>
          <w:szCs w:val="24"/>
        </w:rPr>
        <w:t>2</w:t>
      </w:r>
      <w:r w:rsidR="00367FE8">
        <w:rPr>
          <w:sz w:val="24"/>
          <w:szCs w:val="24"/>
        </w:rPr>
        <w:t>4</w:t>
      </w:r>
      <w:r w:rsidRPr="00200E37">
        <w:rPr>
          <w:sz w:val="24"/>
          <w:szCs w:val="24"/>
        </w:rPr>
        <w:t xml:space="preserve">. </w:t>
      </w:r>
      <w:r w:rsidR="00054744">
        <w:rPr>
          <w:sz w:val="24"/>
          <w:szCs w:val="24"/>
        </w:rPr>
        <w:t>i</w:t>
      </w:r>
      <w:r w:rsidRPr="00200E37">
        <w:rPr>
          <w:sz w:val="24"/>
          <w:szCs w:val="24"/>
        </w:rPr>
        <w:t xml:space="preserve">znosi </w:t>
      </w:r>
      <w:r w:rsidR="009E0FF1">
        <w:rPr>
          <w:sz w:val="24"/>
          <w:szCs w:val="24"/>
        </w:rPr>
        <w:t>5</w:t>
      </w:r>
      <w:r w:rsidR="00367FE8">
        <w:rPr>
          <w:sz w:val="24"/>
          <w:szCs w:val="24"/>
        </w:rPr>
        <w:t>7.</w:t>
      </w:r>
      <w:r w:rsidR="009E0FF1">
        <w:rPr>
          <w:sz w:val="24"/>
          <w:szCs w:val="24"/>
        </w:rPr>
        <w:t>6</w:t>
      </w:r>
      <w:r w:rsidR="00367FE8">
        <w:rPr>
          <w:sz w:val="24"/>
          <w:szCs w:val="24"/>
        </w:rPr>
        <w:t>20,40</w:t>
      </w:r>
      <w:r w:rsidR="00E70B56">
        <w:rPr>
          <w:sz w:val="24"/>
          <w:szCs w:val="24"/>
        </w:rPr>
        <w:t xml:space="preserve"> eura</w:t>
      </w:r>
      <w:r w:rsidRPr="00200E37">
        <w:rPr>
          <w:sz w:val="24"/>
          <w:szCs w:val="24"/>
        </w:rPr>
        <w:t xml:space="preserve"> s indeksom </w:t>
      </w:r>
      <w:r w:rsidR="00054744">
        <w:rPr>
          <w:sz w:val="24"/>
          <w:szCs w:val="24"/>
        </w:rPr>
        <w:t xml:space="preserve">ostvarenja </w:t>
      </w:r>
      <w:r w:rsidR="009E0FF1">
        <w:rPr>
          <w:sz w:val="24"/>
          <w:szCs w:val="24"/>
        </w:rPr>
        <w:t>134,3</w:t>
      </w:r>
      <w:r w:rsidRPr="00200E37">
        <w:rPr>
          <w:sz w:val="24"/>
          <w:szCs w:val="24"/>
        </w:rPr>
        <w:t xml:space="preserve"> u odnosu na prethodnu godinu</w:t>
      </w:r>
      <w:r w:rsidR="00C77D57" w:rsidRPr="00200E37">
        <w:rPr>
          <w:sz w:val="24"/>
          <w:szCs w:val="24"/>
        </w:rPr>
        <w:t>.</w:t>
      </w:r>
      <w:r w:rsidRPr="00200E37">
        <w:rPr>
          <w:sz w:val="24"/>
          <w:szCs w:val="24"/>
        </w:rPr>
        <w:t xml:space="preserve"> </w:t>
      </w:r>
    </w:p>
    <w:p w:rsidR="00E70B56" w:rsidRDefault="00367FE8" w:rsidP="00C77D57">
      <w:pPr>
        <w:jc w:val="both"/>
        <w:rPr>
          <w:sz w:val="24"/>
          <w:szCs w:val="24"/>
        </w:rPr>
      </w:pPr>
      <w:r w:rsidRPr="00367FE8">
        <w:rPr>
          <w:noProof/>
          <w:lang w:eastAsia="hr-HR"/>
        </w:rPr>
        <w:drawing>
          <wp:inline distT="0" distB="0" distL="0" distR="0">
            <wp:extent cx="5760720" cy="209256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2E" w:rsidRPr="00823C1E" w:rsidRDefault="00054744" w:rsidP="001D1E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16 - </w:t>
      </w:r>
      <w:r w:rsidR="001D1E2E" w:rsidRPr="00823C1E">
        <w:rPr>
          <w:b/>
          <w:sz w:val="24"/>
          <w:szCs w:val="24"/>
        </w:rPr>
        <w:t xml:space="preserve"> račun skupine 16- Potraživanja za prihode poslovanja </w:t>
      </w:r>
    </w:p>
    <w:p w:rsidR="001D1E2E" w:rsidRDefault="001D1E2E" w:rsidP="001D1E2E">
      <w:pPr>
        <w:jc w:val="both"/>
        <w:rPr>
          <w:sz w:val="24"/>
          <w:szCs w:val="24"/>
        </w:rPr>
      </w:pPr>
      <w:r w:rsidRPr="00823C1E">
        <w:rPr>
          <w:sz w:val="24"/>
          <w:szCs w:val="24"/>
        </w:rPr>
        <w:t>Potraživanja za prihode poslovanja iznose</w:t>
      </w:r>
      <w:r w:rsidR="00D319C9">
        <w:rPr>
          <w:sz w:val="24"/>
          <w:szCs w:val="24"/>
        </w:rPr>
        <w:t xml:space="preserve"> </w:t>
      </w:r>
      <w:r w:rsidR="009E0FF1">
        <w:rPr>
          <w:sz w:val="24"/>
          <w:szCs w:val="24"/>
        </w:rPr>
        <w:t>48.580,18</w:t>
      </w:r>
      <w:r w:rsidRPr="00823C1E">
        <w:rPr>
          <w:sz w:val="24"/>
          <w:szCs w:val="24"/>
        </w:rPr>
        <w:t xml:space="preserve"> </w:t>
      </w:r>
      <w:r w:rsidR="004C2DDA">
        <w:rPr>
          <w:sz w:val="24"/>
          <w:szCs w:val="24"/>
        </w:rPr>
        <w:t>eura</w:t>
      </w:r>
      <w:r w:rsidRPr="00823C1E">
        <w:rPr>
          <w:sz w:val="24"/>
          <w:szCs w:val="24"/>
        </w:rPr>
        <w:t xml:space="preserve"> s indeksom ostvarenja </w:t>
      </w:r>
      <w:r w:rsidR="009E0FF1">
        <w:rPr>
          <w:sz w:val="24"/>
          <w:szCs w:val="24"/>
        </w:rPr>
        <w:t>144,8</w:t>
      </w:r>
      <w:r w:rsidRPr="00823C1E">
        <w:rPr>
          <w:sz w:val="24"/>
          <w:szCs w:val="24"/>
        </w:rPr>
        <w:t xml:space="preserve"> u odnosu na prethodnu godinu</w:t>
      </w:r>
      <w:r w:rsidR="00D319C9">
        <w:rPr>
          <w:sz w:val="24"/>
          <w:szCs w:val="24"/>
        </w:rPr>
        <w:t>.</w:t>
      </w:r>
    </w:p>
    <w:p w:rsidR="00BE3C86" w:rsidRDefault="00BE3C86" w:rsidP="00C77D57">
      <w:pPr>
        <w:jc w:val="both"/>
        <w:rPr>
          <w:sz w:val="24"/>
          <w:szCs w:val="24"/>
        </w:rPr>
      </w:pPr>
    </w:p>
    <w:p w:rsidR="00D55F3D" w:rsidRPr="00D55F3D" w:rsidRDefault="00FC2563" w:rsidP="00D55F3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19 - </w:t>
      </w:r>
      <w:r w:rsidR="00D55F3D" w:rsidRPr="00D55F3D">
        <w:rPr>
          <w:b/>
          <w:sz w:val="24"/>
          <w:szCs w:val="24"/>
        </w:rPr>
        <w:t xml:space="preserve"> račun skupine 19 - Rashodi budućeg razdoblja i nedospjela naplata prihoda </w:t>
      </w:r>
    </w:p>
    <w:p w:rsidR="00BE3C86" w:rsidRDefault="00D55F3D" w:rsidP="006C13DB">
      <w:pPr>
        <w:spacing w:after="120"/>
        <w:jc w:val="both"/>
        <w:rPr>
          <w:sz w:val="24"/>
          <w:szCs w:val="24"/>
        </w:rPr>
      </w:pPr>
      <w:r w:rsidRPr="00651791">
        <w:rPr>
          <w:sz w:val="24"/>
          <w:szCs w:val="24"/>
        </w:rPr>
        <w:t>Rashodi budućih razdoblja iznose</w:t>
      </w:r>
      <w:r w:rsidR="009E0FF1">
        <w:rPr>
          <w:sz w:val="24"/>
          <w:szCs w:val="24"/>
        </w:rPr>
        <w:t xml:space="preserve"> </w:t>
      </w:r>
      <w:r w:rsidR="009E0FF1" w:rsidRPr="009E0FF1">
        <w:rPr>
          <w:sz w:val="24"/>
          <w:szCs w:val="24"/>
        </w:rPr>
        <w:t>9</w:t>
      </w:r>
      <w:r w:rsidR="009E0FF1">
        <w:rPr>
          <w:sz w:val="24"/>
          <w:szCs w:val="24"/>
        </w:rPr>
        <w:t>.</w:t>
      </w:r>
      <w:r w:rsidR="009E0FF1" w:rsidRPr="009E0FF1">
        <w:rPr>
          <w:sz w:val="24"/>
          <w:szCs w:val="24"/>
        </w:rPr>
        <w:t>036,64</w:t>
      </w:r>
      <w:r w:rsidR="009E0FF1">
        <w:rPr>
          <w:sz w:val="24"/>
          <w:szCs w:val="24"/>
        </w:rPr>
        <w:t xml:space="preserve"> </w:t>
      </w:r>
      <w:r w:rsidR="004C2DDA">
        <w:rPr>
          <w:sz w:val="24"/>
          <w:szCs w:val="24"/>
        </w:rPr>
        <w:t>eura</w:t>
      </w:r>
      <w:r w:rsidRPr="00651791">
        <w:rPr>
          <w:sz w:val="24"/>
          <w:szCs w:val="24"/>
        </w:rPr>
        <w:t xml:space="preserve"> i odnose se na kontinuirane rashode budućih razdoblja odnosno plaću</w:t>
      </w:r>
      <w:r w:rsidR="00FC2563">
        <w:rPr>
          <w:sz w:val="24"/>
          <w:szCs w:val="24"/>
        </w:rPr>
        <w:t xml:space="preserve">, rashode dolaska na posao i prehrane </w:t>
      </w:r>
      <w:r w:rsidRPr="00651791">
        <w:rPr>
          <w:sz w:val="24"/>
          <w:szCs w:val="24"/>
        </w:rPr>
        <w:t xml:space="preserve"> za prosinac isplaćen</w:t>
      </w:r>
      <w:r w:rsidR="00FC2563">
        <w:rPr>
          <w:sz w:val="24"/>
          <w:szCs w:val="24"/>
        </w:rPr>
        <w:t>e</w:t>
      </w:r>
      <w:r w:rsidRPr="00651791">
        <w:rPr>
          <w:sz w:val="24"/>
          <w:szCs w:val="24"/>
        </w:rPr>
        <w:t xml:space="preserve"> u siječnju 20</w:t>
      </w:r>
      <w:r>
        <w:rPr>
          <w:sz w:val="24"/>
          <w:szCs w:val="24"/>
        </w:rPr>
        <w:t>2</w:t>
      </w:r>
      <w:r w:rsidR="009E0FF1">
        <w:rPr>
          <w:sz w:val="24"/>
          <w:szCs w:val="24"/>
        </w:rPr>
        <w:t>5.</w:t>
      </w:r>
    </w:p>
    <w:p w:rsidR="009E0FF1" w:rsidRPr="00200E37" w:rsidRDefault="009E0FF1" w:rsidP="006C13DB">
      <w:pPr>
        <w:spacing w:after="120"/>
        <w:jc w:val="both"/>
        <w:rPr>
          <w:sz w:val="24"/>
          <w:szCs w:val="24"/>
        </w:rPr>
      </w:pPr>
    </w:p>
    <w:p w:rsidR="00971039" w:rsidRPr="00200E37" w:rsidRDefault="00FC2563" w:rsidP="00200E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Šifra 2 -</w:t>
      </w:r>
      <w:r w:rsidR="00971039" w:rsidRPr="00200E37">
        <w:rPr>
          <w:b/>
          <w:sz w:val="24"/>
          <w:szCs w:val="24"/>
        </w:rPr>
        <w:t xml:space="preserve"> razred 2- Obveze</w:t>
      </w:r>
    </w:p>
    <w:p w:rsidR="00BE3C86" w:rsidRPr="00200E37" w:rsidRDefault="00971039" w:rsidP="00971039">
      <w:pPr>
        <w:jc w:val="both"/>
        <w:rPr>
          <w:sz w:val="24"/>
          <w:szCs w:val="24"/>
        </w:rPr>
      </w:pPr>
      <w:r w:rsidRPr="00200E37">
        <w:rPr>
          <w:sz w:val="24"/>
          <w:szCs w:val="24"/>
        </w:rPr>
        <w:t xml:space="preserve">Ukupne obveze na kraju izvještajnog razdoblja iznose </w:t>
      </w:r>
      <w:r w:rsidR="009E0FF1">
        <w:rPr>
          <w:sz w:val="24"/>
          <w:szCs w:val="24"/>
        </w:rPr>
        <w:t>12.941,97</w:t>
      </w:r>
      <w:r w:rsidR="00C8608A">
        <w:rPr>
          <w:sz w:val="24"/>
          <w:szCs w:val="24"/>
        </w:rPr>
        <w:t xml:space="preserve"> </w:t>
      </w:r>
      <w:r w:rsidR="004C2DDA">
        <w:rPr>
          <w:sz w:val="24"/>
          <w:szCs w:val="24"/>
        </w:rPr>
        <w:t xml:space="preserve">eura </w:t>
      </w:r>
      <w:r w:rsidRPr="00200E37">
        <w:rPr>
          <w:sz w:val="24"/>
          <w:szCs w:val="24"/>
        </w:rPr>
        <w:t xml:space="preserve">i </w:t>
      </w:r>
      <w:r w:rsidR="006C13DB">
        <w:rPr>
          <w:sz w:val="24"/>
          <w:szCs w:val="24"/>
        </w:rPr>
        <w:t xml:space="preserve"> </w:t>
      </w:r>
      <w:r w:rsidRPr="00200E37">
        <w:rPr>
          <w:sz w:val="24"/>
          <w:szCs w:val="24"/>
        </w:rPr>
        <w:t xml:space="preserve">u odnosu na prethodnu godinu </w:t>
      </w:r>
      <w:r w:rsidR="00C8608A">
        <w:rPr>
          <w:sz w:val="24"/>
          <w:szCs w:val="24"/>
        </w:rPr>
        <w:t xml:space="preserve"> bilježe indeks </w:t>
      </w:r>
      <w:r w:rsidR="004C2DDA">
        <w:rPr>
          <w:sz w:val="24"/>
          <w:szCs w:val="24"/>
        </w:rPr>
        <w:t>11</w:t>
      </w:r>
      <w:r w:rsidR="009E0FF1">
        <w:rPr>
          <w:sz w:val="24"/>
          <w:szCs w:val="24"/>
        </w:rPr>
        <w:t>2</w:t>
      </w:r>
      <w:r w:rsidR="00C8608A">
        <w:rPr>
          <w:sz w:val="24"/>
          <w:szCs w:val="24"/>
        </w:rPr>
        <w:t>,</w:t>
      </w:r>
      <w:r w:rsidR="009E0FF1">
        <w:rPr>
          <w:sz w:val="24"/>
          <w:szCs w:val="24"/>
        </w:rPr>
        <w:t>0</w:t>
      </w:r>
      <w:r w:rsidR="00C8608A">
        <w:rPr>
          <w:sz w:val="24"/>
          <w:szCs w:val="24"/>
        </w:rPr>
        <w:t xml:space="preserve"> . </w:t>
      </w:r>
      <w:r w:rsidR="004D42A1">
        <w:rPr>
          <w:sz w:val="24"/>
          <w:szCs w:val="24"/>
        </w:rPr>
        <w:t xml:space="preserve"> </w:t>
      </w:r>
    </w:p>
    <w:p w:rsidR="00971039" w:rsidRPr="00200E37" w:rsidRDefault="00C8608A" w:rsidP="00200E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91 - </w:t>
      </w:r>
      <w:r w:rsidR="003A44D6" w:rsidRPr="00200E37">
        <w:rPr>
          <w:b/>
          <w:sz w:val="24"/>
          <w:szCs w:val="24"/>
        </w:rPr>
        <w:t xml:space="preserve"> razred 9 – Vlastiti izvori</w:t>
      </w:r>
    </w:p>
    <w:p w:rsidR="003A44D6" w:rsidRDefault="003A44D6" w:rsidP="0003364E">
      <w:pPr>
        <w:jc w:val="both"/>
        <w:rPr>
          <w:sz w:val="24"/>
          <w:szCs w:val="24"/>
        </w:rPr>
      </w:pPr>
      <w:r w:rsidRPr="00200E37">
        <w:rPr>
          <w:sz w:val="24"/>
          <w:szCs w:val="24"/>
        </w:rPr>
        <w:t xml:space="preserve">Ukupni vlastiti izvori iznose </w:t>
      </w:r>
      <w:r w:rsidR="009E0FF1">
        <w:rPr>
          <w:sz w:val="24"/>
          <w:szCs w:val="24"/>
        </w:rPr>
        <w:t xml:space="preserve">77.136,63 </w:t>
      </w:r>
      <w:r w:rsidR="004C2DDA">
        <w:rPr>
          <w:sz w:val="24"/>
          <w:szCs w:val="24"/>
        </w:rPr>
        <w:t>eura</w:t>
      </w:r>
      <w:r w:rsidRPr="00200E37">
        <w:rPr>
          <w:sz w:val="24"/>
          <w:szCs w:val="24"/>
        </w:rPr>
        <w:t xml:space="preserve"> i </w:t>
      </w:r>
      <w:r w:rsidR="00C8608A">
        <w:rPr>
          <w:sz w:val="24"/>
          <w:szCs w:val="24"/>
        </w:rPr>
        <w:t xml:space="preserve">bilježe indeks </w:t>
      </w:r>
      <w:r w:rsidR="00143706">
        <w:rPr>
          <w:sz w:val="24"/>
          <w:szCs w:val="24"/>
        </w:rPr>
        <w:t>121</w:t>
      </w:r>
      <w:r w:rsidR="00C8608A">
        <w:rPr>
          <w:sz w:val="24"/>
          <w:szCs w:val="24"/>
        </w:rPr>
        <w:t>,</w:t>
      </w:r>
      <w:r w:rsidR="004C2DDA">
        <w:rPr>
          <w:sz w:val="24"/>
          <w:szCs w:val="24"/>
        </w:rPr>
        <w:t>1</w:t>
      </w:r>
      <w:r w:rsidR="00C8608A">
        <w:rPr>
          <w:sz w:val="24"/>
          <w:szCs w:val="24"/>
        </w:rPr>
        <w:t xml:space="preserve"> </w:t>
      </w:r>
      <w:r w:rsidRPr="00200E37">
        <w:rPr>
          <w:sz w:val="24"/>
          <w:szCs w:val="24"/>
        </w:rPr>
        <w:t xml:space="preserve"> u odnosu na prethodnu godinu</w:t>
      </w:r>
      <w:r w:rsidR="0003364E" w:rsidRPr="00200E37">
        <w:rPr>
          <w:sz w:val="24"/>
          <w:szCs w:val="24"/>
        </w:rPr>
        <w:t>.</w:t>
      </w:r>
    </w:p>
    <w:p w:rsidR="004C2DDA" w:rsidRDefault="009E0FF1" w:rsidP="0003364E">
      <w:pPr>
        <w:jc w:val="both"/>
        <w:rPr>
          <w:sz w:val="24"/>
          <w:szCs w:val="24"/>
        </w:rPr>
      </w:pPr>
      <w:r w:rsidRPr="009E0FF1">
        <w:rPr>
          <w:noProof/>
          <w:lang w:eastAsia="hr-HR"/>
        </w:rPr>
        <w:drawing>
          <wp:inline distT="0" distB="0" distL="0" distR="0">
            <wp:extent cx="5760720" cy="20433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F1" w:rsidRDefault="009E0FF1" w:rsidP="0003364E">
      <w:pPr>
        <w:jc w:val="both"/>
        <w:rPr>
          <w:sz w:val="24"/>
          <w:szCs w:val="24"/>
        </w:rPr>
      </w:pPr>
    </w:p>
    <w:p w:rsidR="00143706" w:rsidRDefault="00143706" w:rsidP="0003364E">
      <w:pPr>
        <w:jc w:val="both"/>
        <w:rPr>
          <w:sz w:val="24"/>
          <w:szCs w:val="24"/>
        </w:rPr>
      </w:pPr>
    </w:p>
    <w:p w:rsidR="005C07A1" w:rsidRPr="00BE3C86" w:rsidRDefault="005C07A1" w:rsidP="00BE3C86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BE3C86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prihodima i rashodima, primicima i izdacima – OBRAZAC PR-RAS</w:t>
      </w:r>
    </w:p>
    <w:p w:rsidR="00D764D9" w:rsidRPr="00200E37" w:rsidRDefault="00D764D9" w:rsidP="00D764D9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5C07A1" w:rsidRPr="00BE3C86" w:rsidRDefault="00C8608A" w:rsidP="00BE3C86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6 - </w:t>
      </w:r>
      <w:r w:rsidR="007E35AF" w:rsidRPr="00BE3C86">
        <w:rPr>
          <w:rFonts w:eastAsiaTheme="majorEastAsia" w:cstheme="majorBidi"/>
          <w:b/>
          <w:bCs/>
          <w:sz w:val="24"/>
          <w:szCs w:val="24"/>
        </w:rPr>
        <w:t xml:space="preserve"> razred 6</w:t>
      </w:r>
      <w:r w:rsidR="007E35AF" w:rsidRPr="00BE3C86">
        <w:rPr>
          <w:rFonts w:eastAsiaTheme="majorEastAsia" w:cstheme="majorBidi"/>
          <w:bCs/>
          <w:sz w:val="24"/>
          <w:szCs w:val="24"/>
        </w:rPr>
        <w:t xml:space="preserve"> - </w:t>
      </w:r>
      <w:r w:rsidR="005C07A1" w:rsidRPr="00BE3C86">
        <w:rPr>
          <w:rFonts w:eastAsiaTheme="majorEastAsia" w:cstheme="majorBidi"/>
          <w:b/>
          <w:bCs/>
          <w:sz w:val="24"/>
          <w:szCs w:val="24"/>
        </w:rPr>
        <w:t>Prihodi poslovanja</w:t>
      </w:r>
    </w:p>
    <w:p w:rsidR="003637A7" w:rsidRDefault="005C07A1" w:rsidP="00812830">
      <w:pPr>
        <w:jc w:val="both"/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>Uku</w:t>
      </w:r>
      <w:r w:rsidR="00A33588" w:rsidRPr="00200E37">
        <w:rPr>
          <w:rFonts w:eastAsiaTheme="majorEastAsia" w:cstheme="majorBidi"/>
          <w:bCs/>
          <w:sz w:val="24"/>
          <w:szCs w:val="24"/>
        </w:rPr>
        <w:t>pni prihodi poslovanja u 20</w:t>
      </w:r>
      <w:r w:rsidR="0065489E">
        <w:rPr>
          <w:rFonts w:eastAsiaTheme="majorEastAsia" w:cstheme="majorBidi"/>
          <w:bCs/>
          <w:sz w:val="24"/>
          <w:szCs w:val="24"/>
        </w:rPr>
        <w:t>2</w:t>
      </w:r>
      <w:r w:rsidR="004C2DDA">
        <w:rPr>
          <w:rFonts w:eastAsiaTheme="majorEastAsia" w:cstheme="majorBidi"/>
          <w:bCs/>
          <w:sz w:val="24"/>
          <w:szCs w:val="24"/>
        </w:rPr>
        <w:t>3</w:t>
      </w:r>
      <w:r w:rsidR="00A33588" w:rsidRPr="00200E37">
        <w:rPr>
          <w:rFonts w:eastAsiaTheme="majorEastAsia" w:cstheme="majorBidi"/>
          <w:bCs/>
          <w:sz w:val="24"/>
          <w:szCs w:val="24"/>
        </w:rPr>
        <w:t>. g</w:t>
      </w:r>
      <w:r w:rsidRPr="00200E37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76527A">
        <w:rPr>
          <w:rFonts w:eastAsiaTheme="majorEastAsia" w:cstheme="majorBidi"/>
          <w:bCs/>
          <w:sz w:val="24"/>
          <w:szCs w:val="24"/>
        </w:rPr>
        <w:t>203.387,10</w:t>
      </w:r>
      <w:r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76527A">
        <w:rPr>
          <w:rFonts w:eastAsiaTheme="majorEastAsia" w:cstheme="majorBidi"/>
          <w:bCs/>
          <w:sz w:val="24"/>
          <w:szCs w:val="24"/>
        </w:rPr>
        <w:t>eura</w:t>
      </w:r>
      <w:r w:rsidRPr="00200E37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DD0297"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C8608A">
        <w:rPr>
          <w:rFonts w:eastAsiaTheme="majorEastAsia" w:cstheme="majorBidi"/>
          <w:bCs/>
          <w:sz w:val="24"/>
          <w:szCs w:val="24"/>
        </w:rPr>
        <w:t>1</w:t>
      </w:r>
      <w:r w:rsidR="0076527A">
        <w:rPr>
          <w:rFonts w:eastAsiaTheme="majorEastAsia" w:cstheme="majorBidi"/>
          <w:bCs/>
          <w:sz w:val="24"/>
          <w:szCs w:val="24"/>
        </w:rPr>
        <w:t>35</w:t>
      </w:r>
      <w:r w:rsidR="00C8608A">
        <w:rPr>
          <w:rFonts w:eastAsiaTheme="majorEastAsia" w:cstheme="majorBidi"/>
          <w:bCs/>
          <w:sz w:val="24"/>
          <w:szCs w:val="24"/>
        </w:rPr>
        <w:t>,</w:t>
      </w:r>
      <w:r w:rsidR="0076527A">
        <w:rPr>
          <w:rFonts w:eastAsiaTheme="majorEastAsia" w:cstheme="majorBidi"/>
          <w:bCs/>
          <w:sz w:val="24"/>
          <w:szCs w:val="24"/>
        </w:rPr>
        <w:t>5</w:t>
      </w:r>
      <w:r w:rsidRPr="00200E37">
        <w:rPr>
          <w:rFonts w:eastAsiaTheme="majorEastAsia" w:cstheme="majorBidi"/>
          <w:bCs/>
          <w:sz w:val="24"/>
          <w:szCs w:val="24"/>
        </w:rPr>
        <w:t xml:space="preserve"> u odnosu na prethodnu godinu. </w:t>
      </w:r>
    </w:p>
    <w:p w:rsidR="004C2DDA" w:rsidRDefault="00143706" w:rsidP="00812830">
      <w:pPr>
        <w:jc w:val="both"/>
        <w:rPr>
          <w:rFonts w:eastAsiaTheme="majorEastAsia" w:cstheme="majorBidi"/>
          <w:bCs/>
          <w:sz w:val="24"/>
          <w:szCs w:val="24"/>
        </w:rPr>
      </w:pPr>
      <w:r w:rsidRPr="00143706">
        <w:rPr>
          <w:noProof/>
          <w:lang w:eastAsia="hr-HR"/>
        </w:rPr>
        <w:drawing>
          <wp:inline distT="0" distB="0" distL="0" distR="0">
            <wp:extent cx="5760720" cy="2645111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1D" w:rsidRDefault="002A461D" w:rsidP="00084AA3">
      <w:pPr>
        <w:rPr>
          <w:rFonts w:eastAsiaTheme="majorEastAsia" w:cstheme="majorBidi"/>
          <w:b/>
          <w:bCs/>
          <w:sz w:val="24"/>
          <w:szCs w:val="24"/>
        </w:rPr>
      </w:pPr>
    </w:p>
    <w:p w:rsidR="00CC19B2" w:rsidRPr="00084AA3" w:rsidRDefault="00C8608A" w:rsidP="00084AA3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lastRenderedPageBreak/>
        <w:t xml:space="preserve">Šifra 63- </w:t>
      </w:r>
      <w:r w:rsidR="002929C7" w:rsidRPr="00084AA3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AC0274" w:rsidRPr="00084AA3">
        <w:rPr>
          <w:rFonts w:eastAsiaTheme="majorEastAsia" w:cstheme="majorBidi"/>
          <w:b/>
          <w:bCs/>
          <w:sz w:val="24"/>
          <w:szCs w:val="24"/>
        </w:rPr>
        <w:t>račun podskupine</w:t>
      </w:r>
      <w:r w:rsidR="004B3742" w:rsidRPr="00084AA3">
        <w:rPr>
          <w:rFonts w:eastAsiaTheme="majorEastAsia" w:cstheme="majorBidi"/>
          <w:b/>
          <w:bCs/>
          <w:sz w:val="24"/>
          <w:szCs w:val="24"/>
        </w:rPr>
        <w:t xml:space="preserve"> 63</w:t>
      </w:r>
      <w:r w:rsidR="004B3742" w:rsidRPr="00084AA3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084AA3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084AA3">
        <w:rPr>
          <w:rFonts w:eastAsiaTheme="majorEastAsia" w:cstheme="majorBidi"/>
          <w:b/>
          <w:bCs/>
          <w:sz w:val="24"/>
          <w:szCs w:val="24"/>
        </w:rPr>
        <w:t xml:space="preserve">Pomoći iz </w:t>
      </w:r>
      <w:r>
        <w:rPr>
          <w:rFonts w:eastAsiaTheme="majorEastAsia" w:cstheme="majorBidi"/>
          <w:b/>
          <w:bCs/>
          <w:sz w:val="24"/>
          <w:szCs w:val="24"/>
        </w:rPr>
        <w:t>inozemstva i unutar općeg proračuna</w:t>
      </w:r>
    </w:p>
    <w:p w:rsidR="00AC0274" w:rsidRPr="00084AA3" w:rsidRDefault="007E35AF" w:rsidP="00084AA3">
      <w:pPr>
        <w:jc w:val="both"/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>Pomoć</w:t>
      </w:r>
      <w:r w:rsidR="00084AA3">
        <w:rPr>
          <w:rFonts w:eastAsiaTheme="majorEastAsia" w:cstheme="majorBidi"/>
          <w:bCs/>
          <w:sz w:val="24"/>
          <w:szCs w:val="24"/>
        </w:rPr>
        <w:t>i iz drugih proračuna iznose</w:t>
      </w:r>
      <w:r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2A461D" w:rsidRPr="002A461D">
        <w:rPr>
          <w:rFonts w:eastAsiaTheme="majorEastAsia" w:cstheme="majorBidi"/>
          <w:bCs/>
          <w:sz w:val="24"/>
          <w:szCs w:val="24"/>
        </w:rPr>
        <w:t>15</w:t>
      </w:r>
      <w:r w:rsidR="002A461D">
        <w:rPr>
          <w:rFonts w:eastAsiaTheme="majorEastAsia" w:cstheme="majorBidi"/>
          <w:bCs/>
          <w:sz w:val="24"/>
          <w:szCs w:val="24"/>
        </w:rPr>
        <w:t>.</w:t>
      </w:r>
      <w:r w:rsidR="002A461D" w:rsidRPr="002A461D">
        <w:rPr>
          <w:rFonts w:eastAsiaTheme="majorEastAsia" w:cstheme="majorBidi"/>
          <w:bCs/>
          <w:sz w:val="24"/>
          <w:szCs w:val="24"/>
        </w:rPr>
        <w:t>008,8</w:t>
      </w:r>
      <w:r w:rsidR="002A461D">
        <w:rPr>
          <w:rFonts w:eastAsiaTheme="majorEastAsia" w:cstheme="majorBidi"/>
          <w:bCs/>
          <w:sz w:val="24"/>
          <w:szCs w:val="24"/>
        </w:rPr>
        <w:t xml:space="preserve"> </w:t>
      </w:r>
      <w:r w:rsidR="0076527A">
        <w:rPr>
          <w:rFonts w:eastAsiaTheme="majorEastAsia" w:cstheme="majorBidi"/>
          <w:bCs/>
          <w:sz w:val="24"/>
          <w:szCs w:val="24"/>
        </w:rPr>
        <w:t>eura</w:t>
      </w:r>
      <w:r w:rsidR="00084AA3">
        <w:rPr>
          <w:rFonts w:eastAsiaTheme="majorEastAsia" w:cstheme="majorBidi"/>
          <w:bCs/>
          <w:sz w:val="24"/>
          <w:szCs w:val="24"/>
        </w:rPr>
        <w:t xml:space="preserve"> i odnos</w:t>
      </w:r>
      <w:r w:rsidR="0065489E">
        <w:rPr>
          <w:rFonts w:eastAsiaTheme="majorEastAsia" w:cstheme="majorBidi"/>
          <w:bCs/>
          <w:sz w:val="24"/>
          <w:szCs w:val="24"/>
        </w:rPr>
        <w:t>e se na</w:t>
      </w:r>
      <w:r w:rsidR="00084AA3" w:rsidRPr="00FB2A07">
        <w:rPr>
          <w:rFonts w:eastAsiaTheme="majorEastAsia" w:cstheme="majorBidi"/>
          <w:bCs/>
          <w:sz w:val="24"/>
          <w:szCs w:val="24"/>
        </w:rPr>
        <w:t xml:space="preserve"> prihode za financiranje rashoda EU projek</w:t>
      </w:r>
      <w:r w:rsidR="006C13DB">
        <w:rPr>
          <w:rFonts w:eastAsiaTheme="majorEastAsia" w:cstheme="majorBidi"/>
          <w:bCs/>
          <w:sz w:val="24"/>
          <w:szCs w:val="24"/>
        </w:rPr>
        <w:t>ata</w:t>
      </w:r>
      <w:r w:rsidR="00111200">
        <w:rPr>
          <w:rFonts w:eastAsiaTheme="majorEastAsia" w:cstheme="majorBidi"/>
          <w:bCs/>
          <w:sz w:val="24"/>
          <w:szCs w:val="24"/>
        </w:rPr>
        <w:t xml:space="preserve"> i bilježe indeks ostvarenja </w:t>
      </w:r>
      <w:r w:rsidR="002A461D">
        <w:rPr>
          <w:rFonts w:eastAsiaTheme="majorEastAsia" w:cstheme="majorBidi"/>
          <w:bCs/>
          <w:sz w:val="24"/>
          <w:szCs w:val="24"/>
        </w:rPr>
        <w:t>83,3</w:t>
      </w:r>
      <w:r w:rsidR="00111200">
        <w:rPr>
          <w:rFonts w:eastAsiaTheme="majorEastAsia" w:cstheme="majorBidi"/>
          <w:bCs/>
          <w:sz w:val="24"/>
          <w:szCs w:val="24"/>
        </w:rPr>
        <w:t xml:space="preserve"> u odnosu na prethodnu godinu. </w:t>
      </w:r>
    </w:p>
    <w:p w:rsidR="002868FE" w:rsidRPr="00084AA3" w:rsidRDefault="00111200" w:rsidP="00084AA3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661- </w:t>
      </w:r>
      <w:r w:rsidR="002929C7" w:rsidRPr="00084AA3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4B3742" w:rsidRPr="00084AA3">
        <w:rPr>
          <w:rFonts w:eastAsiaTheme="majorEastAsia" w:cstheme="majorBidi"/>
          <w:b/>
          <w:bCs/>
          <w:sz w:val="24"/>
          <w:szCs w:val="24"/>
        </w:rPr>
        <w:t xml:space="preserve">račun podskupine 661 </w:t>
      </w:r>
      <w:r w:rsidR="002929C7" w:rsidRPr="00084AA3">
        <w:rPr>
          <w:rFonts w:eastAsiaTheme="majorEastAsia" w:cstheme="majorBidi"/>
          <w:b/>
          <w:bCs/>
          <w:sz w:val="24"/>
          <w:szCs w:val="24"/>
        </w:rPr>
        <w:t>- Prihodi od prodanih proizvoda i pruženih usluga</w:t>
      </w:r>
    </w:p>
    <w:p w:rsidR="002A10E6" w:rsidRDefault="00F222B3" w:rsidP="003960BD">
      <w:pPr>
        <w:jc w:val="both"/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 xml:space="preserve">Prihodi od pruženih usluga iznose </w:t>
      </w:r>
      <w:r w:rsidR="002A461D" w:rsidRPr="002A461D">
        <w:rPr>
          <w:rFonts w:eastAsiaTheme="majorEastAsia" w:cstheme="majorBidi"/>
          <w:bCs/>
          <w:sz w:val="24"/>
          <w:szCs w:val="24"/>
        </w:rPr>
        <w:t>89</w:t>
      </w:r>
      <w:r w:rsidR="002A461D">
        <w:rPr>
          <w:rFonts w:eastAsiaTheme="majorEastAsia" w:cstheme="majorBidi"/>
          <w:bCs/>
          <w:sz w:val="24"/>
          <w:szCs w:val="24"/>
        </w:rPr>
        <w:t>.</w:t>
      </w:r>
      <w:r w:rsidR="002A461D" w:rsidRPr="002A461D">
        <w:rPr>
          <w:rFonts w:eastAsiaTheme="majorEastAsia" w:cstheme="majorBidi"/>
          <w:bCs/>
          <w:sz w:val="24"/>
          <w:szCs w:val="24"/>
        </w:rPr>
        <w:t>090,15</w:t>
      </w:r>
      <w:r w:rsidR="002A461D">
        <w:rPr>
          <w:rFonts w:eastAsiaTheme="majorEastAsia" w:cstheme="majorBidi"/>
          <w:bCs/>
          <w:sz w:val="24"/>
          <w:szCs w:val="24"/>
        </w:rPr>
        <w:t xml:space="preserve"> </w:t>
      </w:r>
      <w:r w:rsidRPr="00200E37">
        <w:rPr>
          <w:rFonts w:eastAsiaTheme="majorEastAsia" w:cstheme="majorBidi"/>
          <w:bCs/>
          <w:sz w:val="24"/>
          <w:szCs w:val="24"/>
        </w:rPr>
        <w:t>kn s indeksom ostvarenj</w:t>
      </w:r>
      <w:r w:rsidR="00DD0297" w:rsidRPr="00200E37">
        <w:rPr>
          <w:rFonts w:eastAsiaTheme="majorEastAsia" w:cstheme="majorBidi"/>
          <w:bCs/>
          <w:sz w:val="24"/>
          <w:szCs w:val="24"/>
        </w:rPr>
        <w:t>a</w:t>
      </w:r>
      <w:r w:rsidRPr="00200E37">
        <w:rPr>
          <w:rFonts w:eastAsiaTheme="majorEastAsia" w:cstheme="majorBidi"/>
          <w:bCs/>
          <w:sz w:val="24"/>
          <w:szCs w:val="24"/>
        </w:rPr>
        <w:t xml:space="preserve"> od</w:t>
      </w:r>
      <w:r w:rsidR="00DD0297"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2A461D">
        <w:rPr>
          <w:rFonts w:eastAsiaTheme="majorEastAsia" w:cstheme="majorBidi"/>
          <w:bCs/>
          <w:sz w:val="24"/>
          <w:szCs w:val="24"/>
        </w:rPr>
        <w:t xml:space="preserve">131,6 </w:t>
      </w:r>
      <w:r w:rsidRPr="00200E37">
        <w:rPr>
          <w:rFonts w:eastAsiaTheme="majorEastAsia" w:cstheme="majorBidi"/>
          <w:bCs/>
          <w:sz w:val="24"/>
          <w:szCs w:val="24"/>
        </w:rPr>
        <w:t>u odnos</w:t>
      </w:r>
      <w:r w:rsidR="00DD0297" w:rsidRPr="00200E37">
        <w:rPr>
          <w:rFonts w:eastAsiaTheme="majorEastAsia" w:cstheme="majorBidi"/>
          <w:bCs/>
          <w:sz w:val="24"/>
          <w:szCs w:val="24"/>
        </w:rPr>
        <w:t>u na prethodnu godinu</w:t>
      </w:r>
      <w:r w:rsidR="003960BD" w:rsidRPr="00200E37">
        <w:rPr>
          <w:rFonts w:eastAsiaTheme="majorEastAsia" w:cstheme="majorBidi"/>
          <w:bCs/>
          <w:sz w:val="24"/>
          <w:szCs w:val="24"/>
        </w:rPr>
        <w:t>.</w:t>
      </w:r>
    </w:p>
    <w:p w:rsidR="00265124" w:rsidRDefault="00265124" w:rsidP="003960BD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CA568E" w:rsidRDefault="00111200" w:rsidP="00CA568E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3 - </w:t>
      </w:r>
      <w:r w:rsidR="002929C7" w:rsidRPr="00CA568E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7E35AF" w:rsidRPr="00CA568E">
        <w:rPr>
          <w:rFonts w:eastAsiaTheme="majorEastAsia" w:cstheme="majorBidi"/>
          <w:b/>
          <w:bCs/>
          <w:sz w:val="24"/>
          <w:szCs w:val="24"/>
        </w:rPr>
        <w:t>razred 3</w:t>
      </w:r>
      <w:r w:rsidR="007E35AF" w:rsidRPr="00CA568E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CA568E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CA568E">
        <w:rPr>
          <w:rFonts w:eastAsiaTheme="majorEastAsia" w:cstheme="majorBidi"/>
          <w:b/>
          <w:bCs/>
          <w:sz w:val="24"/>
          <w:szCs w:val="24"/>
        </w:rPr>
        <w:t>Rashodi poslovanja</w:t>
      </w:r>
    </w:p>
    <w:p w:rsidR="00307F7A" w:rsidRDefault="00307F7A" w:rsidP="00307F7A">
      <w:pPr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>Ukupni rashodi poslovanja iznose</w:t>
      </w:r>
      <w:r w:rsidR="003960BD"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2A461D">
        <w:rPr>
          <w:rFonts w:eastAsiaTheme="majorEastAsia" w:cstheme="majorBidi"/>
          <w:bCs/>
          <w:sz w:val="24"/>
          <w:szCs w:val="24"/>
        </w:rPr>
        <w:t>207.093,72</w:t>
      </w:r>
      <w:r w:rsidRPr="00200E37">
        <w:rPr>
          <w:rFonts w:eastAsiaTheme="majorEastAsia" w:cstheme="majorBidi"/>
          <w:bCs/>
          <w:sz w:val="24"/>
          <w:szCs w:val="24"/>
        </w:rPr>
        <w:t xml:space="preserve"> kn s indeksom os</w:t>
      </w:r>
      <w:r w:rsidR="00A068D1" w:rsidRPr="00200E37">
        <w:rPr>
          <w:rFonts w:eastAsiaTheme="majorEastAsia" w:cstheme="majorBidi"/>
          <w:bCs/>
          <w:sz w:val="24"/>
          <w:szCs w:val="24"/>
        </w:rPr>
        <w:t>t</w:t>
      </w:r>
      <w:r w:rsidRPr="00200E37">
        <w:rPr>
          <w:rFonts w:eastAsiaTheme="majorEastAsia" w:cstheme="majorBidi"/>
          <w:bCs/>
          <w:sz w:val="24"/>
          <w:szCs w:val="24"/>
        </w:rPr>
        <w:t>varenja od</w:t>
      </w:r>
      <w:r w:rsidR="003960BD"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111200">
        <w:rPr>
          <w:rFonts w:eastAsiaTheme="majorEastAsia" w:cstheme="majorBidi"/>
          <w:bCs/>
          <w:sz w:val="24"/>
          <w:szCs w:val="24"/>
        </w:rPr>
        <w:t>1</w:t>
      </w:r>
      <w:r w:rsidR="002A461D">
        <w:rPr>
          <w:rFonts w:eastAsiaTheme="majorEastAsia" w:cstheme="majorBidi"/>
          <w:bCs/>
          <w:sz w:val="24"/>
          <w:szCs w:val="24"/>
        </w:rPr>
        <w:t>07</w:t>
      </w:r>
      <w:r w:rsidR="00111200">
        <w:rPr>
          <w:rFonts w:eastAsiaTheme="majorEastAsia" w:cstheme="majorBidi"/>
          <w:bCs/>
          <w:sz w:val="24"/>
          <w:szCs w:val="24"/>
        </w:rPr>
        <w:t>,</w:t>
      </w:r>
      <w:r w:rsidR="002A461D">
        <w:rPr>
          <w:rFonts w:eastAsiaTheme="majorEastAsia" w:cstheme="majorBidi"/>
          <w:bCs/>
          <w:sz w:val="24"/>
          <w:szCs w:val="24"/>
        </w:rPr>
        <w:t>2</w:t>
      </w:r>
      <w:r w:rsidRPr="00200E37">
        <w:rPr>
          <w:rFonts w:eastAsiaTheme="majorEastAsia" w:cstheme="majorBidi"/>
          <w:bCs/>
          <w:sz w:val="24"/>
          <w:szCs w:val="24"/>
        </w:rPr>
        <w:t xml:space="preserve"> u odnosu na prethodnu godinu. </w:t>
      </w:r>
    </w:p>
    <w:p w:rsidR="00111200" w:rsidRPr="005E59D3" w:rsidRDefault="00111200" w:rsidP="00111200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Najznačajnije stavke su na slijedećim šiframa</w:t>
      </w:r>
      <w:r>
        <w:rPr>
          <w:rFonts w:eastAsiaTheme="majorEastAsia" w:cstheme="majorBidi"/>
          <w:bCs/>
          <w:sz w:val="24"/>
          <w:szCs w:val="24"/>
        </w:rPr>
        <w:t>:</w:t>
      </w:r>
      <w:r w:rsidRPr="005E59D3">
        <w:rPr>
          <w:rFonts w:eastAsiaTheme="majorEastAsia" w:cstheme="majorBidi"/>
          <w:bCs/>
          <w:sz w:val="24"/>
          <w:szCs w:val="24"/>
        </w:rPr>
        <w:t xml:space="preserve"> </w:t>
      </w:r>
    </w:p>
    <w:p w:rsidR="00111200" w:rsidRPr="005E59D3" w:rsidRDefault="00111200" w:rsidP="00111200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31 -  rashodi za zaposlene </w:t>
      </w:r>
      <w:r w:rsidR="0076527A">
        <w:rPr>
          <w:rFonts w:eastAsiaTheme="majorEastAsia" w:cstheme="majorBidi"/>
          <w:bCs/>
          <w:sz w:val="24"/>
          <w:szCs w:val="24"/>
        </w:rPr>
        <w:t>1</w:t>
      </w:r>
      <w:r w:rsidR="002A461D">
        <w:rPr>
          <w:rFonts w:eastAsiaTheme="majorEastAsia" w:cstheme="majorBidi"/>
          <w:bCs/>
          <w:sz w:val="24"/>
          <w:szCs w:val="24"/>
        </w:rPr>
        <w:t>10</w:t>
      </w:r>
      <w:r w:rsidR="0076527A">
        <w:rPr>
          <w:rFonts w:eastAsiaTheme="majorEastAsia" w:cstheme="majorBidi"/>
          <w:bCs/>
          <w:sz w:val="24"/>
          <w:szCs w:val="24"/>
        </w:rPr>
        <w:t>.</w:t>
      </w:r>
      <w:r w:rsidR="002A461D">
        <w:rPr>
          <w:rFonts w:eastAsiaTheme="majorEastAsia" w:cstheme="majorBidi"/>
          <w:bCs/>
          <w:sz w:val="24"/>
          <w:szCs w:val="24"/>
        </w:rPr>
        <w:t>029,67</w:t>
      </w:r>
      <w:r w:rsidR="0076527A">
        <w:rPr>
          <w:rFonts w:eastAsiaTheme="majorEastAsia" w:cstheme="majorBidi"/>
          <w:bCs/>
          <w:sz w:val="24"/>
          <w:szCs w:val="24"/>
        </w:rPr>
        <w:t xml:space="preserve"> eura, (</w:t>
      </w:r>
      <w:r w:rsidRPr="005E59D3">
        <w:rPr>
          <w:rFonts w:eastAsiaTheme="majorEastAsia" w:cstheme="majorBidi"/>
          <w:bCs/>
          <w:sz w:val="24"/>
          <w:szCs w:val="24"/>
        </w:rPr>
        <w:t xml:space="preserve">indeks </w:t>
      </w:r>
      <w:r w:rsidR="002A461D">
        <w:rPr>
          <w:rFonts w:eastAsiaTheme="majorEastAsia" w:cstheme="majorBidi"/>
          <w:bCs/>
          <w:sz w:val="24"/>
          <w:szCs w:val="24"/>
        </w:rPr>
        <w:t>109,2</w:t>
      </w:r>
      <w:r w:rsidRPr="005E59D3">
        <w:rPr>
          <w:rFonts w:eastAsiaTheme="majorEastAsia" w:cstheme="majorBidi"/>
          <w:bCs/>
          <w:sz w:val="24"/>
          <w:szCs w:val="24"/>
        </w:rPr>
        <w:t xml:space="preserve">) – na povećanje ovih rashoda utjecalo je povećanje </w:t>
      </w:r>
      <w:r w:rsidR="0076527A">
        <w:rPr>
          <w:rFonts w:eastAsiaTheme="majorEastAsia" w:cstheme="majorBidi"/>
          <w:bCs/>
          <w:sz w:val="24"/>
          <w:szCs w:val="24"/>
        </w:rPr>
        <w:t xml:space="preserve">plaća, </w:t>
      </w:r>
      <w:r w:rsidRPr="005E59D3">
        <w:rPr>
          <w:rFonts w:eastAsiaTheme="majorEastAsia" w:cstheme="majorBidi"/>
          <w:bCs/>
          <w:sz w:val="24"/>
          <w:szCs w:val="24"/>
        </w:rPr>
        <w:t>te promjene kod ostalih rashoda za zaposlene: regres, božićnice</w:t>
      </w:r>
      <w:r w:rsidR="0076527A">
        <w:rPr>
          <w:rFonts w:eastAsiaTheme="majorEastAsia" w:cstheme="majorBidi"/>
          <w:bCs/>
          <w:sz w:val="24"/>
          <w:szCs w:val="24"/>
        </w:rPr>
        <w:t>,</w:t>
      </w:r>
      <w:r w:rsidRPr="005E59D3">
        <w:rPr>
          <w:rFonts w:eastAsiaTheme="majorEastAsia" w:cstheme="majorBidi"/>
          <w:bCs/>
          <w:sz w:val="24"/>
          <w:szCs w:val="24"/>
        </w:rPr>
        <w:t xml:space="preserve"> jubilarne nagrade, prehrana i ostalo.</w:t>
      </w:r>
    </w:p>
    <w:p w:rsidR="00111200" w:rsidRPr="005E59D3" w:rsidRDefault="00111200" w:rsidP="00111200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32 </w:t>
      </w:r>
      <w:r>
        <w:rPr>
          <w:rFonts w:eastAsiaTheme="majorEastAsia" w:cstheme="majorBidi"/>
          <w:bCs/>
          <w:sz w:val="24"/>
          <w:szCs w:val="24"/>
        </w:rPr>
        <w:t xml:space="preserve">- </w:t>
      </w:r>
      <w:r w:rsidRPr="005E59D3">
        <w:rPr>
          <w:rFonts w:eastAsiaTheme="majorEastAsia" w:cstheme="majorBidi"/>
          <w:bCs/>
          <w:sz w:val="24"/>
          <w:szCs w:val="24"/>
        </w:rPr>
        <w:t xml:space="preserve">materijalni rashodi ( indeks </w:t>
      </w:r>
      <w:r w:rsidR="002A461D">
        <w:rPr>
          <w:rFonts w:eastAsiaTheme="majorEastAsia" w:cstheme="majorBidi"/>
          <w:bCs/>
          <w:sz w:val="24"/>
          <w:szCs w:val="24"/>
        </w:rPr>
        <w:t>105,1</w:t>
      </w:r>
      <w:r w:rsidRPr="005E59D3">
        <w:rPr>
          <w:rFonts w:eastAsiaTheme="majorEastAsia" w:cstheme="majorBidi"/>
          <w:bCs/>
          <w:sz w:val="24"/>
          <w:szCs w:val="24"/>
        </w:rPr>
        <w:t xml:space="preserve">) – u ovoj grupi najveći indeks ostvarenja bilježe </w:t>
      </w:r>
      <w:r>
        <w:rPr>
          <w:rFonts w:eastAsiaTheme="majorEastAsia" w:cstheme="majorBidi"/>
          <w:bCs/>
          <w:sz w:val="24"/>
          <w:szCs w:val="24"/>
        </w:rPr>
        <w:t>:</w:t>
      </w:r>
    </w:p>
    <w:p w:rsidR="00111200" w:rsidRPr="005E59D3" w:rsidRDefault="00111200" w:rsidP="00111200">
      <w:pPr>
        <w:pStyle w:val="ListParagraph"/>
        <w:numPr>
          <w:ilvl w:val="0"/>
          <w:numId w:val="14"/>
        </w:num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321 – naknade troškova zaposlenima  ( indeks </w:t>
      </w:r>
      <w:r w:rsidR="002A461D">
        <w:rPr>
          <w:rFonts w:eastAsiaTheme="majorEastAsia" w:cstheme="majorBidi"/>
          <w:bCs/>
          <w:sz w:val="24"/>
          <w:szCs w:val="24"/>
        </w:rPr>
        <w:t>85,3</w:t>
      </w:r>
      <w:r w:rsidRPr="005E59D3">
        <w:rPr>
          <w:rFonts w:eastAsiaTheme="majorEastAsia" w:cstheme="majorBidi"/>
          <w:bCs/>
          <w:sz w:val="24"/>
          <w:szCs w:val="24"/>
        </w:rPr>
        <w:t xml:space="preserve">)  a čine ih : troškovi službenih putovanja ( šifra 3211 )  sa indeksom </w:t>
      </w:r>
      <w:r w:rsidR="002A461D">
        <w:rPr>
          <w:rFonts w:eastAsiaTheme="majorEastAsia" w:cstheme="majorBidi"/>
          <w:bCs/>
          <w:sz w:val="24"/>
          <w:szCs w:val="24"/>
        </w:rPr>
        <w:t>17,9</w:t>
      </w:r>
      <w:r w:rsidR="0076527A">
        <w:rPr>
          <w:rFonts w:eastAsiaTheme="majorEastAsia" w:cstheme="majorBidi"/>
          <w:bCs/>
          <w:sz w:val="24"/>
          <w:szCs w:val="24"/>
        </w:rPr>
        <w:t>.</w:t>
      </w:r>
      <w:r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76527A">
        <w:rPr>
          <w:rFonts w:eastAsiaTheme="majorEastAsia" w:cstheme="majorBidi"/>
          <w:bCs/>
          <w:sz w:val="24"/>
          <w:szCs w:val="24"/>
        </w:rPr>
        <w:t>I</w:t>
      </w:r>
      <w:r w:rsidRPr="005E59D3">
        <w:rPr>
          <w:rFonts w:eastAsiaTheme="majorEastAsia" w:cstheme="majorBidi"/>
          <w:bCs/>
          <w:sz w:val="24"/>
          <w:szCs w:val="24"/>
        </w:rPr>
        <w:t xml:space="preserve">ndeks od </w:t>
      </w:r>
      <w:r w:rsidR="00BC7A14">
        <w:rPr>
          <w:rFonts w:eastAsiaTheme="majorEastAsia" w:cstheme="majorBidi"/>
          <w:bCs/>
          <w:sz w:val="24"/>
          <w:szCs w:val="24"/>
        </w:rPr>
        <w:t xml:space="preserve">160,2 </w:t>
      </w:r>
      <w:r w:rsidRPr="005E59D3">
        <w:rPr>
          <w:rFonts w:eastAsiaTheme="majorEastAsia" w:cstheme="majorBidi"/>
          <w:bCs/>
          <w:sz w:val="24"/>
          <w:szCs w:val="24"/>
        </w:rPr>
        <w:t>u odnosu na prošlu godinu na šifri 3213 – stručno usavršavanje zaposlenika</w:t>
      </w:r>
      <w:r w:rsidR="0076527A">
        <w:rPr>
          <w:rFonts w:eastAsiaTheme="majorEastAsia" w:cstheme="majorBidi"/>
          <w:bCs/>
          <w:sz w:val="24"/>
          <w:szCs w:val="24"/>
        </w:rPr>
        <w:t>, ostvaren je zbog većeg obujma putovanja u sklopu EU projekata</w:t>
      </w:r>
      <w:r w:rsidRPr="005E59D3">
        <w:rPr>
          <w:rFonts w:eastAsiaTheme="majorEastAsia" w:cstheme="majorBidi"/>
          <w:bCs/>
          <w:sz w:val="24"/>
          <w:szCs w:val="24"/>
        </w:rPr>
        <w:t>.</w:t>
      </w:r>
    </w:p>
    <w:p w:rsidR="00111200" w:rsidRPr="005E59D3" w:rsidRDefault="00111200" w:rsidP="00111200">
      <w:pPr>
        <w:pStyle w:val="ListParagraph"/>
        <w:numPr>
          <w:ilvl w:val="0"/>
          <w:numId w:val="14"/>
        </w:num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322 – Rashodi za materijal i energiju bilježe indeks ostvarenja </w:t>
      </w:r>
      <w:r w:rsidR="00BC7A14">
        <w:rPr>
          <w:rFonts w:eastAsiaTheme="majorEastAsia" w:cstheme="majorBidi"/>
          <w:bCs/>
          <w:sz w:val="24"/>
          <w:szCs w:val="24"/>
        </w:rPr>
        <w:t>125,8</w:t>
      </w:r>
      <w:r w:rsidRPr="005E59D3">
        <w:rPr>
          <w:rFonts w:eastAsiaTheme="majorEastAsia" w:cstheme="majorBidi"/>
          <w:bCs/>
          <w:sz w:val="24"/>
          <w:szCs w:val="24"/>
        </w:rPr>
        <w:t xml:space="preserve"> u odnosu na prošlu godinu </w:t>
      </w:r>
      <w:r w:rsidR="002F2C96">
        <w:rPr>
          <w:rFonts w:eastAsiaTheme="majorEastAsia" w:cstheme="majorBidi"/>
          <w:bCs/>
          <w:sz w:val="24"/>
          <w:szCs w:val="24"/>
        </w:rPr>
        <w:t xml:space="preserve">a unutar tih rashoda najveći indeks </w:t>
      </w:r>
      <w:r w:rsidR="00BC7A14">
        <w:rPr>
          <w:rFonts w:eastAsiaTheme="majorEastAsia" w:cstheme="majorBidi"/>
          <w:bCs/>
          <w:sz w:val="24"/>
          <w:szCs w:val="24"/>
        </w:rPr>
        <w:t>139,7</w:t>
      </w:r>
      <w:r w:rsidR="002F2C96">
        <w:rPr>
          <w:rFonts w:eastAsiaTheme="majorEastAsia" w:cstheme="majorBidi"/>
          <w:bCs/>
          <w:sz w:val="24"/>
          <w:szCs w:val="24"/>
        </w:rPr>
        <w:t xml:space="preserve"> ostvaruje se kod </w:t>
      </w:r>
      <w:r w:rsidR="00562835">
        <w:rPr>
          <w:rFonts w:eastAsiaTheme="majorEastAsia" w:cstheme="majorBidi"/>
          <w:bCs/>
          <w:sz w:val="24"/>
          <w:szCs w:val="24"/>
        </w:rPr>
        <w:t>materijala i dijelova za tekuće i investicijsko održavanje</w:t>
      </w:r>
      <w:r w:rsidR="002F2C96">
        <w:rPr>
          <w:rFonts w:eastAsiaTheme="majorEastAsia" w:cstheme="majorBidi"/>
          <w:bCs/>
          <w:sz w:val="24"/>
          <w:szCs w:val="24"/>
        </w:rPr>
        <w:t>.</w:t>
      </w:r>
      <w:r w:rsidRPr="005E59D3">
        <w:rPr>
          <w:rFonts w:eastAsiaTheme="majorEastAsia" w:cstheme="majorBidi"/>
          <w:bCs/>
          <w:sz w:val="24"/>
          <w:szCs w:val="24"/>
        </w:rPr>
        <w:t xml:space="preserve"> </w:t>
      </w:r>
    </w:p>
    <w:p w:rsidR="00111200" w:rsidRDefault="00111200" w:rsidP="00EC518F">
      <w:pPr>
        <w:pStyle w:val="ListParagraph"/>
        <w:numPr>
          <w:ilvl w:val="0"/>
          <w:numId w:val="14"/>
        </w:numPr>
        <w:jc w:val="both"/>
        <w:rPr>
          <w:rFonts w:eastAsiaTheme="majorEastAsia" w:cstheme="majorBidi"/>
          <w:bCs/>
          <w:sz w:val="24"/>
          <w:szCs w:val="24"/>
        </w:rPr>
      </w:pPr>
      <w:r w:rsidRPr="00562835">
        <w:rPr>
          <w:rFonts w:eastAsiaTheme="majorEastAsia" w:cstheme="majorBidi"/>
          <w:bCs/>
          <w:sz w:val="24"/>
          <w:szCs w:val="24"/>
        </w:rPr>
        <w:t xml:space="preserve">šifra 323  - rashodi za usluge </w:t>
      </w:r>
      <w:r w:rsidR="002F2C96" w:rsidRPr="00562835">
        <w:rPr>
          <w:rFonts w:eastAsiaTheme="majorEastAsia" w:cstheme="majorBidi"/>
          <w:bCs/>
          <w:sz w:val="24"/>
          <w:szCs w:val="24"/>
        </w:rPr>
        <w:t xml:space="preserve">bilježe indeks ostvarenja </w:t>
      </w:r>
      <w:r w:rsidR="00BC7A14">
        <w:rPr>
          <w:rFonts w:eastAsiaTheme="majorEastAsia" w:cstheme="majorBidi"/>
          <w:bCs/>
          <w:sz w:val="24"/>
          <w:szCs w:val="24"/>
        </w:rPr>
        <w:t>116,8</w:t>
      </w:r>
      <w:r w:rsidR="002F2C96" w:rsidRPr="00562835">
        <w:rPr>
          <w:rFonts w:eastAsiaTheme="majorEastAsia" w:cstheme="majorBidi"/>
          <w:bCs/>
          <w:sz w:val="24"/>
          <w:szCs w:val="24"/>
        </w:rPr>
        <w:t xml:space="preserve"> . </w:t>
      </w:r>
    </w:p>
    <w:p w:rsidR="00562835" w:rsidRPr="00562835" w:rsidRDefault="00562835" w:rsidP="00EC518F">
      <w:pPr>
        <w:pStyle w:val="ListParagraph"/>
        <w:numPr>
          <w:ilvl w:val="0"/>
          <w:numId w:val="14"/>
        </w:num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šifra 324 – naknade troškova osobama izvan radnog odnosa odnosi se na naknade vanjskim članovima na putovanjima u sklopu EU projekta</w:t>
      </w:r>
      <w:r w:rsidR="00BC7A14">
        <w:rPr>
          <w:rFonts w:eastAsiaTheme="majorEastAsia" w:cstheme="majorBidi"/>
          <w:bCs/>
          <w:sz w:val="24"/>
          <w:szCs w:val="24"/>
        </w:rPr>
        <w:t>, indeks 37,8 u odnosu na prethodnu godinu.</w:t>
      </w:r>
    </w:p>
    <w:p w:rsidR="00DB5B1E" w:rsidRPr="002F2C96" w:rsidRDefault="002F2C96" w:rsidP="00CA568E">
      <w:pPr>
        <w:rPr>
          <w:rFonts w:eastAsiaTheme="majorEastAsia" w:cstheme="majorBidi"/>
          <w:b/>
          <w:bCs/>
          <w:sz w:val="24"/>
          <w:szCs w:val="24"/>
        </w:rPr>
      </w:pPr>
      <w:r w:rsidRPr="002F2C96">
        <w:rPr>
          <w:rFonts w:eastAsiaTheme="majorEastAsia" w:cstheme="majorBidi"/>
          <w:b/>
          <w:bCs/>
          <w:sz w:val="24"/>
          <w:szCs w:val="24"/>
        </w:rPr>
        <w:t>Šifra 7 -</w:t>
      </w:r>
      <w:r w:rsidR="008C7DD8" w:rsidRPr="002F2C96">
        <w:rPr>
          <w:rFonts w:eastAsiaTheme="majorEastAsia" w:cstheme="majorBidi"/>
          <w:b/>
          <w:bCs/>
          <w:sz w:val="24"/>
          <w:szCs w:val="24"/>
        </w:rPr>
        <w:t xml:space="preserve"> razred 7 -  Prihodi od prodaje nefinancijske imovine</w:t>
      </w:r>
    </w:p>
    <w:p w:rsidR="008C7DD8" w:rsidRDefault="002F2C96" w:rsidP="00363915">
      <w:pPr>
        <w:jc w:val="both"/>
        <w:rPr>
          <w:rFonts w:eastAsiaTheme="majorEastAsia" w:cstheme="majorBidi"/>
          <w:bCs/>
          <w:sz w:val="24"/>
          <w:szCs w:val="24"/>
        </w:rPr>
      </w:pPr>
      <w:r w:rsidRPr="002F2C96">
        <w:rPr>
          <w:rFonts w:eastAsiaTheme="majorEastAsia" w:cstheme="majorBidi"/>
          <w:bCs/>
          <w:sz w:val="24"/>
          <w:szCs w:val="24"/>
        </w:rPr>
        <w:t>202</w:t>
      </w:r>
      <w:r w:rsidR="00BC7A14">
        <w:rPr>
          <w:rFonts w:eastAsiaTheme="majorEastAsia" w:cstheme="majorBidi"/>
          <w:bCs/>
          <w:sz w:val="24"/>
          <w:szCs w:val="24"/>
        </w:rPr>
        <w:t>4</w:t>
      </w:r>
      <w:r w:rsidRPr="002F2C96">
        <w:rPr>
          <w:rFonts w:eastAsiaTheme="majorEastAsia" w:cstheme="majorBidi"/>
          <w:bCs/>
          <w:sz w:val="24"/>
          <w:szCs w:val="24"/>
        </w:rPr>
        <w:t xml:space="preserve">. godine </w:t>
      </w:r>
      <w:r w:rsidR="00BC7A14">
        <w:rPr>
          <w:rFonts w:eastAsiaTheme="majorEastAsia" w:cstheme="majorBidi"/>
          <w:bCs/>
          <w:sz w:val="24"/>
          <w:szCs w:val="24"/>
        </w:rPr>
        <w:t>je</w:t>
      </w:r>
      <w:r w:rsidRPr="002F2C96">
        <w:rPr>
          <w:rFonts w:eastAsiaTheme="majorEastAsia" w:cstheme="majorBidi"/>
          <w:bCs/>
          <w:sz w:val="24"/>
          <w:szCs w:val="24"/>
        </w:rPr>
        <w:t xml:space="preserve"> ostvaren </w:t>
      </w:r>
      <w:r w:rsidR="00BC7A14">
        <w:rPr>
          <w:rFonts w:eastAsiaTheme="majorEastAsia" w:cstheme="majorBidi"/>
          <w:bCs/>
          <w:sz w:val="24"/>
          <w:szCs w:val="24"/>
        </w:rPr>
        <w:t xml:space="preserve">je </w:t>
      </w:r>
      <w:r w:rsidRPr="002F2C96">
        <w:rPr>
          <w:rFonts w:eastAsiaTheme="majorEastAsia" w:cstheme="majorBidi"/>
          <w:bCs/>
          <w:sz w:val="24"/>
          <w:szCs w:val="24"/>
        </w:rPr>
        <w:t>prihod od prodaje nefinancijske imovine</w:t>
      </w:r>
      <w:r w:rsidR="00BC7A14">
        <w:rPr>
          <w:rFonts w:eastAsiaTheme="majorEastAsia" w:cstheme="majorBidi"/>
          <w:bCs/>
          <w:sz w:val="24"/>
          <w:szCs w:val="24"/>
        </w:rPr>
        <w:t xml:space="preserve"> pod šifrom 7241- Knjige, u iznosu od 53,08 eura.</w:t>
      </w:r>
    </w:p>
    <w:p w:rsidR="00265124" w:rsidRPr="002F2C96" w:rsidRDefault="00265124" w:rsidP="00363915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2F2C96" w:rsidRDefault="002F2C96" w:rsidP="00CA568E">
      <w:pPr>
        <w:rPr>
          <w:rFonts w:eastAsiaTheme="majorEastAsia" w:cstheme="majorBidi"/>
          <w:bCs/>
          <w:sz w:val="24"/>
          <w:szCs w:val="24"/>
        </w:rPr>
      </w:pPr>
      <w:r w:rsidRPr="002F2C96">
        <w:rPr>
          <w:rFonts w:eastAsiaTheme="majorEastAsia" w:cstheme="majorBidi"/>
          <w:b/>
          <w:bCs/>
          <w:sz w:val="24"/>
          <w:szCs w:val="24"/>
        </w:rPr>
        <w:t xml:space="preserve">Šifra 4 - </w:t>
      </w:r>
      <w:r w:rsidR="002929C7" w:rsidRPr="002F2C96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F222B3" w:rsidRPr="002F2C96">
        <w:rPr>
          <w:rFonts w:eastAsiaTheme="majorEastAsia" w:cstheme="majorBidi"/>
          <w:b/>
          <w:bCs/>
          <w:sz w:val="24"/>
          <w:szCs w:val="24"/>
        </w:rPr>
        <w:t xml:space="preserve"> razred 4</w:t>
      </w:r>
      <w:r w:rsidR="00F222B3" w:rsidRPr="002F2C96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2F2C96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2F2C96">
        <w:rPr>
          <w:rFonts w:eastAsiaTheme="majorEastAsia" w:cstheme="majorBidi"/>
          <w:b/>
          <w:bCs/>
          <w:sz w:val="24"/>
          <w:szCs w:val="24"/>
        </w:rPr>
        <w:t>Rashodi za nabavu dugotrajne nefinancijske imovine</w:t>
      </w:r>
    </w:p>
    <w:p w:rsidR="00AE7315" w:rsidRDefault="00AE7315" w:rsidP="00A12C18">
      <w:pPr>
        <w:jc w:val="both"/>
        <w:rPr>
          <w:rFonts w:eastAsiaTheme="majorEastAsia" w:cstheme="majorBidi"/>
          <w:bCs/>
          <w:sz w:val="24"/>
          <w:szCs w:val="24"/>
        </w:rPr>
      </w:pPr>
      <w:r w:rsidRPr="002F2C96">
        <w:rPr>
          <w:rFonts w:eastAsiaTheme="majorEastAsia" w:cstheme="majorBidi"/>
          <w:bCs/>
          <w:sz w:val="24"/>
          <w:szCs w:val="24"/>
        </w:rPr>
        <w:t xml:space="preserve">Ukupni </w:t>
      </w:r>
      <w:r w:rsidR="00837A5D" w:rsidRPr="002F2C96">
        <w:rPr>
          <w:rFonts w:eastAsiaTheme="majorEastAsia" w:cstheme="majorBidi"/>
          <w:bCs/>
          <w:sz w:val="24"/>
          <w:szCs w:val="24"/>
        </w:rPr>
        <w:t>rashodi za nabavu nefinancijs</w:t>
      </w:r>
      <w:r w:rsidRPr="002F2C96">
        <w:rPr>
          <w:rFonts w:eastAsiaTheme="majorEastAsia" w:cstheme="majorBidi"/>
          <w:bCs/>
          <w:sz w:val="24"/>
          <w:szCs w:val="24"/>
        </w:rPr>
        <w:t>k</w:t>
      </w:r>
      <w:r w:rsidR="00837A5D" w:rsidRPr="002F2C96">
        <w:rPr>
          <w:rFonts w:eastAsiaTheme="majorEastAsia" w:cstheme="majorBidi"/>
          <w:bCs/>
          <w:sz w:val="24"/>
          <w:szCs w:val="24"/>
        </w:rPr>
        <w:t>e</w:t>
      </w:r>
      <w:r w:rsidRPr="002F2C96">
        <w:rPr>
          <w:rFonts w:eastAsiaTheme="majorEastAsia" w:cstheme="majorBidi"/>
          <w:bCs/>
          <w:sz w:val="24"/>
          <w:szCs w:val="24"/>
        </w:rPr>
        <w:t xml:space="preserve"> imovine iznose </w:t>
      </w:r>
      <w:r w:rsidR="00BC7A14">
        <w:rPr>
          <w:rFonts w:eastAsiaTheme="majorEastAsia" w:cstheme="majorBidi"/>
          <w:bCs/>
          <w:sz w:val="24"/>
          <w:szCs w:val="24"/>
        </w:rPr>
        <w:t>5.133,40</w:t>
      </w:r>
      <w:r w:rsidRPr="002F2C96">
        <w:rPr>
          <w:rFonts w:eastAsiaTheme="majorEastAsia" w:cstheme="majorBidi"/>
          <w:bCs/>
          <w:sz w:val="24"/>
          <w:szCs w:val="24"/>
        </w:rPr>
        <w:t xml:space="preserve"> </w:t>
      </w:r>
      <w:r w:rsidR="00562835">
        <w:rPr>
          <w:rFonts w:eastAsiaTheme="majorEastAsia" w:cstheme="majorBidi"/>
          <w:bCs/>
          <w:sz w:val="24"/>
          <w:szCs w:val="24"/>
        </w:rPr>
        <w:t xml:space="preserve">eura </w:t>
      </w:r>
      <w:r w:rsidR="008C7DD8" w:rsidRPr="002F2C96">
        <w:rPr>
          <w:rFonts w:eastAsiaTheme="majorEastAsia" w:cstheme="majorBidi"/>
          <w:bCs/>
          <w:sz w:val="24"/>
          <w:szCs w:val="24"/>
        </w:rPr>
        <w:t xml:space="preserve">s indeksom ostvarenja  </w:t>
      </w:r>
      <w:r w:rsidR="00BC7A14">
        <w:rPr>
          <w:rFonts w:eastAsiaTheme="majorEastAsia" w:cstheme="majorBidi"/>
          <w:bCs/>
          <w:sz w:val="24"/>
          <w:szCs w:val="24"/>
        </w:rPr>
        <w:t>187</w:t>
      </w:r>
      <w:r w:rsidR="002F2C96" w:rsidRPr="002F2C96">
        <w:rPr>
          <w:rFonts w:eastAsiaTheme="majorEastAsia" w:cstheme="majorBidi"/>
          <w:bCs/>
          <w:sz w:val="24"/>
          <w:szCs w:val="24"/>
        </w:rPr>
        <w:t>,</w:t>
      </w:r>
      <w:r w:rsidR="00BC7A14">
        <w:rPr>
          <w:rFonts w:eastAsiaTheme="majorEastAsia" w:cstheme="majorBidi"/>
          <w:bCs/>
          <w:sz w:val="24"/>
          <w:szCs w:val="24"/>
        </w:rPr>
        <w:t>6</w:t>
      </w:r>
      <w:r w:rsidR="002F2C96" w:rsidRPr="002F2C96">
        <w:rPr>
          <w:rFonts w:eastAsiaTheme="majorEastAsia" w:cstheme="majorBidi"/>
          <w:bCs/>
          <w:sz w:val="24"/>
          <w:szCs w:val="24"/>
        </w:rPr>
        <w:t xml:space="preserve"> u odnosu na prethodnu godinu. Rashode nefinancijske imovine čine rashodi </w:t>
      </w:r>
      <w:r w:rsidR="002F2C96">
        <w:rPr>
          <w:rFonts w:eastAsiaTheme="majorEastAsia" w:cstheme="majorBidi"/>
          <w:bCs/>
          <w:sz w:val="24"/>
          <w:szCs w:val="24"/>
        </w:rPr>
        <w:t>uredsk</w:t>
      </w:r>
      <w:r w:rsidR="00BC7A14">
        <w:rPr>
          <w:rFonts w:eastAsiaTheme="majorEastAsia" w:cstheme="majorBidi"/>
          <w:bCs/>
          <w:sz w:val="24"/>
          <w:szCs w:val="24"/>
        </w:rPr>
        <w:t>e</w:t>
      </w:r>
      <w:r w:rsidR="002F2C96">
        <w:rPr>
          <w:rFonts w:eastAsiaTheme="majorEastAsia" w:cstheme="majorBidi"/>
          <w:bCs/>
          <w:sz w:val="24"/>
          <w:szCs w:val="24"/>
        </w:rPr>
        <w:t xml:space="preserve"> </w:t>
      </w:r>
      <w:r w:rsidR="002F2C96">
        <w:rPr>
          <w:rFonts w:eastAsiaTheme="majorEastAsia" w:cstheme="majorBidi"/>
          <w:bCs/>
          <w:sz w:val="24"/>
          <w:szCs w:val="24"/>
        </w:rPr>
        <w:lastRenderedPageBreak/>
        <w:t>oprem</w:t>
      </w:r>
      <w:r w:rsidR="00BC7A14">
        <w:rPr>
          <w:rFonts w:eastAsiaTheme="majorEastAsia" w:cstheme="majorBidi"/>
          <w:bCs/>
          <w:sz w:val="24"/>
          <w:szCs w:val="24"/>
        </w:rPr>
        <w:t>e</w:t>
      </w:r>
      <w:r w:rsidR="002F2C96">
        <w:rPr>
          <w:rFonts w:eastAsiaTheme="majorEastAsia" w:cstheme="majorBidi"/>
          <w:bCs/>
          <w:sz w:val="24"/>
          <w:szCs w:val="24"/>
        </w:rPr>
        <w:t xml:space="preserve"> i namještaj</w:t>
      </w:r>
      <w:r w:rsidR="00BC7A14">
        <w:rPr>
          <w:rFonts w:eastAsiaTheme="majorEastAsia" w:cstheme="majorBidi"/>
          <w:bCs/>
          <w:sz w:val="24"/>
          <w:szCs w:val="24"/>
        </w:rPr>
        <w:t>a</w:t>
      </w:r>
      <w:r w:rsidR="00CB004E">
        <w:rPr>
          <w:rFonts w:eastAsiaTheme="majorEastAsia" w:cstheme="majorBidi"/>
          <w:bCs/>
          <w:sz w:val="24"/>
          <w:szCs w:val="24"/>
        </w:rPr>
        <w:t xml:space="preserve"> u iznosu od </w:t>
      </w:r>
      <w:r w:rsidR="00CB004E" w:rsidRPr="00CB004E">
        <w:rPr>
          <w:rFonts w:eastAsiaTheme="majorEastAsia" w:cstheme="majorBidi"/>
          <w:bCs/>
          <w:sz w:val="24"/>
          <w:szCs w:val="24"/>
        </w:rPr>
        <w:t>4</w:t>
      </w:r>
      <w:r w:rsidR="00CB004E">
        <w:rPr>
          <w:rFonts w:eastAsiaTheme="majorEastAsia" w:cstheme="majorBidi"/>
          <w:bCs/>
          <w:sz w:val="24"/>
          <w:szCs w:val="24"/>
        </w:rPr>
        <w:t>.</w:t>
      </w:r>
      <w:r w:rsidR="00CB004E" w:rsidRPr="00CB004E">
        <w:rPr>
          <w:rFonts w:eastAsiaTheme="majorEastAsia" w:cstheme="majorBidi"/>
          <w:bCs/>
          <w:sz w:val="24"/>
          <w:szCs w:val="24"/>
        </w:rPr>
        <w:t>696,88</w:t>
      </w:r>
      <w:r w:rsidR="00CB004E">
        <w:rPr>
          <w:rFonts w:eastAsiaTheme="majorEastAsia" w:cstheme="majorBidi"/>
          <w:bCs/>
          <w:sz w:val="24"/>
          <w:szCs w:val="24"/>
        </w:rPr>
        <w:t xml:space="preserve"> eura, rashodi za komunikacijsku opremu </w:t>
      </w:r>
      <w:r w:rsidR="00CB004E" w:rsidRPr="00CB004E">
        <w:rPr>
          <w:rFonts w:eastAsiaTheme="majorEastAsia" w:cstheme="majorBidi"/>
          <w:bCs/>
          <w:sz w:val="24"/>
          <w:szCs w:val="24"/>
        </w:rPr>
        <w:t>174,02</w:t>
      </w:r>
      <w:r w:rsidR="00CB004E">
        <w:rPr>
          <w:rFonts w:eastAsiaTheme="majorEastAsia" w:cstheme="majorBidi"/>
          <w:bCs/>
          <w:sz w:val="24"/>
          <w:szCs w:val="24"/>
        </w:rPr>
        <w:t xml:space="preserve"> eura i rashodi za nabavu nepriozvedene financijske imovine, licence 262,50 eura.</w:t>
      </w:r>
    </w:p>
    <w:p w:rsidR="00265124" w:rsidRPr="00200E37" w:rsidRDefault="00265124" w:rsidP="00A12C18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9419C1" w:rsidRDefault="00FB40EF" w:rsidP="00CA568E">
      <w:pPr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X006 - </w:t>
      </w:r>
      <w:r w:rsidR="008C7DD8" w:rsidRPr="00CA568E">
        <w:rPr>
          <w:rFonts w:eastAsiaTheme="majorEastAsia" w:cstheme="majorBidi"/>
          <w:b/>
          <w:bCs/>
          <w:sz w:val="24"/>
          <w:szCs w:val="24"/>
        </w:rPr>
        <w:t xml:space="preserve"> </w:t>
      </w:r>
      <w:r>
        <w:rPr>
          <w:rFonts w:eastAsiaTheme="majorEastAsia" w:cstheme="majorBidi"/>
          <w:b/>
          <w:bCs/>
          <w:sz w:val="24"/>
          <w:szCs w:val="24"/>
        </w:rPr>
        <w:t xml:space="preserve">Višak prihoda i primitaka raspoloživ u slijedećem razdoblju </w:t>
      </w:r>
    </w:p>
    <w:p w:rsidR="00CA568E" w:rsidRDefault="00886DD8" w:rsidP="00886DD8">
      <w:pPr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>U 20</w:t>
      </w:r>
      <w:r w:rsidR="00B934E9">
        <w:rPr>
          <w:rFonts w:eastAsiaTheme="majorEastAsia" w:cstheme="majorBidi"/>
          <w:bCs/>
          <w:sz w:val="24"/>
          <w:szCs w:val="24"/>
        </w:rPr>
        <w:t>2</w:t>
      </w:r>
      <w:r w:rsidR="00562835">
        <w:rPr>
          <w:rFonts w:eastAsiaTheme="majorEastAsia" w:cstheme="majorBidi"/>
          <w:bCs/>
          <w:sz w:val="24"/>
          <w:szCs w:val="24"/>
        </w:rPr>
        <w:t>3</w:t>
      </w:r>
      <w:r w:rsidRPr="00200E37">
        <w:rPr>
          <w:rFonts w:eastAsiaTheme="majorEastAsia" w:cstheme="majorBidi"/>
          <w:bCs/>
          <w:sz w:val="24"/>
          <w:szCs w:val="24"/>
        </w:rPr>
        <w:t xml:space="preserve">. godini ostvaren je </w:t>
      </w:r>
      <w:r w:rsidR="00CA568E">
        <w:rPr>
          <w:rFonts w:eastAsiaTheme="majorEastAsia" w:cstheme="majorBidi"/>
          <w:bCs/>
          <w:sz w:val="24"/>
          <w:szCs w:val="24"/>
        </w:rPr>
        <w:t>višak</w:t>
      </w:r>
      <w:r w:rsidRPr="00200E37">
        <w:rPr>
          <w:rFonts w:eastAsiaTheme="majorEastAsia" w:cstheme="majorBidi"/>
          <w:bCs/>
          <w:sz w:val="24"/>
          <w:szCs w:val="24"/>
        </w:rPr>
        <w:t xml:space="preserve"> prihoda </w:t>
      </w:r>
      <w:r w:rsidR="00562835">
        <w:rPr>
          <w:rFonts w:eastAsiaTheme="majorEastAsia" w:cstheme="majorBidi"/>
          <w:bCs/>
          <w:sz w:val="24"/>
          <w:szCs w:val="24"/>
        </w:rPr>
        <w:t xml:space="preserve">od </w:t>
      </w:r>
      <w:r w:rsidR="00654C5E">
        <w:rPr>
          <w:rFonts w:eastAsiaTheme="majorEastAsia" w:cstheme="majorBidi"/>
          <w:bCs/>
          <w:sz w:val="24"/>
          <w:szCs w:val="24"/>
        </w:rPr>
        <w:t>14.082,73</w:t>
      </w:r>
      <w:r w:rsidR="00562835">
        <w:rPr>
          <w:rFonts w:eastAsiaTheme="majorEastAsia" w:cstheme="majorBidi"/>
          <w:bCs/>
          <w:sz w:val="24"/>
          <w:szCs w:val="24"/>
        </w:rPr>
        <w:t xml:space="preserve"> eura, te sa viškom prihoda iz prethodnog razdoblja od 1</w:t>
      </w:r>
      <w:r w:rsidR="001807F4">
        <w:rPr>
          <w:rFonts w:eastAsiaTheme="majorEastAsia" w:cstheme="majorBidi"/>
          <w:bCs/>
          <w:sz w:val="24"/>
          <w:szCs w:val="24"/>
        </w:rPr>
        <w:t>9</w:t>
      </w:r>
      <w:r w:rsidR="00562835">
        <w:rPr>
          <w:rFonts w:eastAsiaTheme="majorEastAsia" w:cstheme="majorBidi"/>
          <w:bCs/>
          <w:sz w:val="24"/>
          <w:szCs w:val="24"/>
        </w:rPr>
        <w:t>.</w:t>
      </w:r>
      <w:r w:rsidR="001807F4">
        <w:rPr>
          <w:rFonts w:eastAsiaTheme="majorEastAsia" w:cstheme="majorBidi"/>
          <w:bCs/>
          <w:sz w:val="24"/>
          <w:szCs w:val="24"/>
        </w:rPr>
        <w:t>805,77</w:t>
      </w:r>
      <w:r w:rsidR="00562835">
        <w:rPr>
          <w:rFonts w:eastAsiaTheme="majorEastAsia" w:cstheme="majorBidi"/>
          <w:bCs/>
          <w:sz w:val="24"/>
          <w:szCs w:val="24"/>
        </w:rPr>
        <w:t xml:space="preserve"> eura dobiva se višak</w:t>
      </w:r>
      <w:r w:rsidR="00FB40EF" w:rsidRPr="00FB40EF">
        <w:rPr>
          <w:rFonts w:eastAsiaTheme="majorEastAsia" w:cstheme="majorBidi"/>
          <w:bCs/>
          <w:sz w:val="24"/>
          <w:szCs w:val="24"/>
        </w:rPr>
        <w:t xml:space="preserve"> raspoloživ u slijedećem razdoblju</w:t>
      </w:r>
      <w:r w:rsidR="00FB40EF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Pr="00200E37">
        <w:rPr>
          <w:rFonts w:eastAsiaTheme="majorEastAsia" w:cstheme="majorBidi"/>
          <w:bCs/>
          <w:sz w:val="24"/>
          <w:szCs w:val="24"/>
        </w:rPr>
        <w:t xml:space="preserve">u iznosu od </w:t>
      </w:r>
      <w:r w:rsidR="001807F4">
        <w:rPr>
          <w:rFonts w:eastAsiaTheme="majorEastAsia" w:cstheme="majorBidi"/>
          <w:bCs/>
          <w:sz w:val="24"/>
          <w:szCs w:val="24"/>
        </w:rPr>
        <w:t>33.888,50</w:t>
      </w:r>
      <w:r w:rsidR="00562835">
        <w:rPr>
          <w:rFonts w:eastAsiaTheme="majorEastAsia" w:cstheme="majorBidi"/>
          <w:bCs/>
          <w:sz w:val="24"/>
          <w:szCs w:val="24"/>
        </w:rPr>
        <w:t xml:space="preserve"> eura</w:t>
      </w:r>
      <w:r w:rsidRPr="00200E37">
        <w:rPr>
          <w:rFonts w:eastAsiaTheme="majorEastAsia" w:cstheme="majorBidi"/>
          <w:bCs/>
          <w:sz w:val="24"/>
          <w:szCs w:val="24"/>
        </w:rPr>
        <w:t>. Rezultat prema izvorima financiranja prikazan je u sljedećoj tabeli:</w:t>
      </w:r>
    </w:p>
    <w:p w:rsidR="00FB40EF" w:rsidRDefault="00654C5E" w:rsidP="00886DD8">
      <w:pPr>
        <w:rPr>
          <w:rFonts w:eastAsiaTheme="majorEastAsia" w:cstheme="majorBidi"/>
          <w:bCs/>
          <w:sz w:val="24"/>
          <w:szCs w:val="24"/>
        </w:rPr>
      </w:pPr>
      <w:r w:rsidRPr="00654C5E">
        <w:rPr>
          <w:noProof/>
          <w:lang w:eastAsia="hr-HR"/>
        </w:rPr>
        <w:drawing>
          <wp:inline distT="0" distB="0" distL="0" distR="0">
            <wp:extent cx="5760720" cy="1751654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9" w:type="dxa"/>
        <w:tblInd w:w="-5" w:type="dxa"/>
        <w:tblLook w:val="04A0" w:firstRow="1" w:lastRow="0" w:firstColumn="1" w:lastColumn="0" w:noHBand="0" w:noVBand="1"/>
      </w:tblPr>
      <w:tblGrid>
        <w:gridCol w:w="1305"/>
        <w:gridCol w:w="7914"/>
      </w:tblGrid>
      <w:tr w:rsidR="00646572" w:rsidRPr="00651791" w:rsidTr="005A446F">
        <w:trPr>
          <w:trHeight w:val="813"/>
        </w:trPr>
        <w:tc>
          <w:tcPr>
            <w:tcW w:w="1305" w:type="dxa"/>
          </w:tcPr>
          <w:p w:rsidR="00646572" w:rsidRDefault="00646572" w:rsidP="00054744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  <w:p w:rsidR="00646572" w:rsidRPr="00673924" w:rsidRDefault="005A446F" w:rsidP="00054744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11P</w:t>
            </w:r>
          </w:p>
          <w:p w:rsidR="00646572" w:rsidRPr="00673924" w:rsidRDefault="00646572" w:rsidP="00054744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14" w:type="dxa"/>
          </w:tcPr>
          <w:p w:rsidR="00646572" w:rsidRDefault="00646572" w:rsidP="00054744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646572" w:rsidRDefault="00646572" w:rsidP="0005474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651791">
              <w:rPr>
                <w:sz w:val="24"/>
                <w:szCs w:val="24"/>
              </w:rPr>
              <w:t>Stanje novčanih sredstava na kraju obračunskog razdoblja p</w:t>
            </w:r>
            <w:r w:rsidR="005A446F">
              <w:rPr>
                <w:sz w:val="24"/>
                <w:szCs w:val="24"/>
              </w:rPr>
              <w:t>rikazuje</w:t>
            </w:r>
            <w:r w:rsidRPr="00651791">
              <w:rPr>
                <w:sz w:val="24"/>
                <w:szCs w:val="24"/>
              </w:rPr>
              <w:t xml:space="preserve"> nulu, jer se transakcije obavljaju preko jedinstvenog računa Riznice Grada Umaga. </w:t>
            </w:r>
          </w:p>
          <w:p w:rsidR="00646572" w:rsidRPr="00651791" w:rsidRDefault="00646572" w:rsidP="00054744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46572" w:rsidRPr="00520DFB" w:rsidTr="005A446F">
        <w:trPr>
          <w:trHeight w:val="813"/>
        </w:trPr>
        <w:tc>
          <w:tcPr>
            <w:tcW w:w="1305" w:type="dxa"/>
          </w:tcPr>
          <w:p w:rsidR="00646572" w:rsidRDefault="005A446F" w:rsidP="00054744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Z007</w:t>
            </w:r>
          </w:p>
          <w:p w:rsidR="005A446F" w:rsidRPr="007F5946" w:rsidRDefault="005A446F" w:rsidP="00054744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Z009</w:t>
            </w:r>
          </w:p>
          <w:p w:rsidR="00646572" w:rsidRPr="00520DFB" w:rsidRDefault="00646572" w:rsidP="005A446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F5946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914" w:type="dxa"/>
          </w:tcPr>
          <w:p w:rsidR="00646572" w:rsidRPr="00520DFB" w:rsidRDefault="00646572" w:rsidP="005A446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Prosječan broj zaposlenih </w:t>
            </w:r>
            <w:r w:rsidR="005A446F">
              <w:rPr>
                <w:sz w:val="24"/>
                <w:szCs w:val="24"/>
              </w:rPr>
              <w:t xml:space="preserve">na osnovi stanja na početku i na kraju izvještajnog razdoblja </w:t>
            </w:r>
            <w:r w:rsidRPr="00520DFB">
              <w:rPr>
                <w:sz w:val="24"/>
                <w:szCs w:val="24"/>
              </w:rPr>
              <w:t xml:space="preserve">iznosi </w:t>
            </w:r>
            <w:r>
              <w:rPr>
                <w:sz w:val="24"/>
                <w:szCs w:val="24"/>
              </w:rPr>
              <w:t>4</w:t>
            </w:r>
            <w:r w:rsidRPr="00520DFB">
              <w:rPr>
                <w:sz w:val="24"/>
                <w:szCs w:val="24"/>
              </w:rPr>
              <w:t xml:space="preserve"> djelatnika</w:t>
            </w:r>
            <w:r>
              <w:rPr>
                <w:sz w:val="24"/>
                <w:szCs w:val="24"/>
              </w:rPr>
              <w:t xml:space="preserve"> (indeks </w:t>
            </w:r>
            <w:r w:rsidR="005A446F">
              <w:rPr>
                <w:sz w:val="24"/>
                <w:szCs w:val="24"/>
              </w:rPr>
              <w:t>100,</w:t>
            </w:r>
            <w:r>
              <w:rPr>
                <w:sz w:val="24"/>
                <w:szCs w:val="24"/>
              </w:rPr>
              <w:t>0)</w:t>
            </w:r>
            <w:r w:rsidRPr="00520DFB">
              <w:rPr>
                <w:sz w:val="24"/>
                <w:szCs w:val="24"/>
              </w:rPr>
              <w:t xml:space="preserve">, a prosječan broj zaposlenih prema satima rada iznosi </w:t>
            </w:r>
            <w:r w:rsidR="005A446F">
              <w:rPr>
                <w:sz w:val="24"/>
                <w:szCs w:val="24"/>
              </w:rPr>
              <w:t>4</w:t>
            </w:r>
            <w:r w:rsidRPr="00520DFB">
              <w:rPr>
                <w:sz w:val="24"/>
                <w:szCs w:val="24"/>
              </w:rPr>
              <w:t xml:space="preserve"> djelatnika</w:t>
            </w:r>
            <w:r>
              <w:rPr>
                <w:sz w:val="24"/>
                <w:szCs w:val="24"/>
              </w:rPr>
              <w:t xml:space="preserve"> (indeks </w:t>
            </w:r>
            <w:r w:rsidR="005A446F">
              <w:rPr>
                <w:sz w:val="24"/>
                <w:szCs w:val="24"/>
              </w:rPr>
              <w:t>1</w:t>
            </w:r>
            <w:r w:rsidR="00574BC6">
              <w:rPr>
                <w:sz w:val="24"/>
                <w:szCs w:val="24"/>
              </w:rPr>
              <w:t>00</w:t>
            </w:r>
            <w:r w:rsidR="005A446F">
              <w:rPr>
                <w:sz w:val="24"/>
                <w:szCs w:val="24"/>
              </w:rPr>
              <w:t>,</w:t>
            </w:r>
            <w:r w:rsidR="00574B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DB5B1E" w:rsidRPr="00BE3C86" w:rsidRDefault="00DB5B1E" w:rsidP="00BE3C86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BE3C86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rashodima prema funkcijskoj klasifikaciji- obrazac RAS-funkcijski</w:t>
      </w:r>
    </w:p>
    <w:p w:rsidR="00FD1F38" w:rsidRPr="00200E37" w:rsidRDefault="00FD1F38" w:rsidP="00FD1F38">
      <w:pPr>
        <w:pStyle w:val="ListParagraph"/>
        <w:keepNext/>
        <w:keepLines/>
        <w:spacing w:before="200" w:after="0"/>
        <w:ind w:left="36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8A033B" w:rsidRPr="00BE3C86" w:rsidRDefault="008A033B" w:rsidP="00BE3C86">
      <w:pPr>
        <w:rPr>
          <w:rFonts w:eastAsiaTheme="majorEastAsia" w:cstheme="majorBidi"/>
          <w:bCs/>
          <w:sz w:val="24"/>
          <w:szCs w:val="24"/>
        </w:rPr>
      </w:pPr>
      <w:r w:rsidRPr="00BE3C86">
        <w:rPr>
          <w:rFonts w:eastAsiaTheme="majorEastAsia" w:cstheme="majorBidi"/>
          <w:bCs/>
          <w:sz w:val="24"/>
          <w:szCs w:val="24"/>
        </w:rPr>
        <w:t>Ukupni rashodi u iznosu od</w:t>
      </w:r>
      <w:r w:rsidR="001807F4">
        <w:rPr>
          <w:rFonts w:eastAsiaTheme="majorEastAsia" w:cstheme="majorBidi"/>
          <w:bCs/>
          <w:sz w:val="24"/>
          <w:szCs w:val="24"/>
        </w:rPr>
        <w:t xml:space="preserve"> 217</w:t>
      </w:r>
      <w:r w:rsidR="005A446F">
        <w:rPr>
          <w:rFonts w:eastAsiaTheme="majorEastAsia" w:cstheme="majorBidi"/>
          <w:bCs/>
          <w:sz w:val="24"/>
          <w:szCs w:val="24"/>
        </w:rPr>
        <w:t>.</w:t>
      </w:r>
      <w:r w:rsidR="001807F4">
        <w:rPr>
          <w:rFonts w:eastAsiaTheme="majorEastAsia" w:cstheme="majorBidi"/>
          <w:bCs/>
          <w:sz w:val="24"/>
          <w:szCs w:val="24"/>
        </w:rPr>
        <w:t>227</w:t>
      </w:r>
      <w:r w:rsidR="005A446F">
        <w:rPr>
          <w:rFonts w:eastAsiaTheme="majorEastAsia" w:cstheme="majorBidi"/>
          <w:bCs/>
          <w:sz w:val="24"/>
          <w:szCs w:val="24"/>
        </w:rPr>
        <w:t>,</w:t>
      </w:r>
      <w:r w:rsidR="001807F4">
        <w:rPr>
          <w:rFonts w:eastAsiaTheme="majorEastAsia" w:cstheme="majorBidi"/>
          <w:bCs/>
          <w:sz w:val="24"/>
          <w:szCs w:val="24"/>
        </w:rPr>
        <w:t>12</w:t>
      </w:r>
      <w:r w:rsidR="00EC6323">
        <w:rPr>
          <w:rFonts w:eastAsiaTheme="majorEastAsia" w:cstheme="majorBidi"/>
          <w:bCs/>
          <w:sz w:val="24"/>
          <w:szCs w:val="24"/>
        </w:rPr>
        <w:t xml:space="preserve"> </w:t>
      </w:r>
      <w:r w:rsidR="008B7F88">
        <w:rPr>
          <w:rFonts w:eastAsiaTheme="majorEastAsia" w:cstheme="majorBidi"/>
          <w:bCs/>
          <w:sz w:val="24"/>
          <w:szCs w:val="24"/>
        </w:rPr>
        <w:t>eur</w:t>
      </w:r>
      <w:r w:rsidR="001807F4">
        <w:rPr>
          <w:rFonts w:eastAsiaTheme="majorEastAsia" w:cstheme="majorBidi"/>
          <w:bCs/>
          <w:sz w:val="24"/>
          <w:szCs w:val="24"/>
        </w:rPr>
        <w:t>a</w:t>
      </w:r>
      <w:r w:rsidRPr="00BE3C86">
        <w:rPr>
          <w:rFonts w:eastAsiaTheme="majorEastAsia" w:cstheme="majorBidi"/>
          <w:bCs/>
          <w:sz w:val="24"/>
          <w:szCs w:val="24"/>
        </w:rPr>
        <w:t xml:space="preserve"> dijele se na funkcijske klasifikacije:</w:t>
      </w:r>
    </w:p>
    <w:p w:rsidR="008A033B" w:rsidRPr="00200E37" w:rsidRDefault="008A033B" w:rsidP="008A033B">
      <w:pPr>
        <w:pStyle w:val="ListParagraph"/>
        <w:numPr>
          <w:ilvl w:val="0"/>
          <w:numId w:val="8"/>
        </w:numPr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 xml:space="preserve">095 Obrazovanje koje se ne može definirati po stupnju </w:t>
      </w:r>
      <w:r w:rsidR="001807F4">
        <w:rPr>
          <w:rFonts w:eastAsiaTheme="majorEastAsia" w:cstheme="majorBidi"/>
          <w:bCs/>
          <w:sz w:val="24"/>
          <w:szCs w:val="24"/>
        </w:rPr>
        <w:t>207.232,18</w:t>
      </w:r>
      <w:r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8B7F88">
        <w:rPr>
          <w:rFonts w:eastAsiaTheme="majorEastAsia" w:cstheme="majorBidi"/>
          <w:bCs/>
          <w:sz w:val="24"/>
          <w:szCs w:val="24"/>
        </w:rPr>
        <w:t>euro</w:t>
      </w:r>
    </w:p>
    <w:p w:rsidR="00DB5B1E" w:rsidRPr="00200E37" w:rsidRDefault="008A033B" w:rsidP="008A033B">
      <w:pPr>
        <w:pStyle w:val="ListParagraph"/>
        <w:numPr>
          <w:ilvl w:val="0"/>
          <w:numId w:val="8"/>
        </w:numPr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>098 Usluge obrazov</w:t>
      </w:r>
      <w:r w:rsidR="00EC6323">
        <w:rPr>
          <w:rFonts w:eastAsiaTheme="majorEastAsia" w:cstheme="majorBidi"/>
          <w:bCs/>
          <w:sz w:val="24"/>
          <w:szCs w:val="24"/>
        </w:rPr>
        <w:t xml:space="preserve">anja koje nisu drugdje svrstane </w:t>
      </w:r>
      <w:r w:rsidR="001807F4">
        <w:rPr>
          <w:rFonts w:eastAsiaTheme="majorEastAsia" w:cstheme="majorBidi"/>
          <w:bCs/>
          <w:sz w:val="24"/>
          <w:szCs w:val="24"/>
        </w:rPr>
        <w:t>4</w:t>
      </w:r>
      <w:r w:rsidR="005A446F">
        <w:rPr>
          <w:rFonts w:eastAsiaTheme="majorEastAsia" w:cstheme="majorBidi"/>
          <w:bCs/>
          <w:sz w:val="24"/>
          <w:szCs w:val="24"/>
        </w:rPr>
        <w:t>.</w:t>
      </w:r>
      <w:r w:rsidR="001807F4">
        <w:rPr>
          <w:rFonts w:eastAsiaTheme="majorEastAsia" w:cstheme="majorBidi"/>
          <w:bCs/>
          <w:sz w:val="24"/>
          <w:szCs w:val="24"/>
        </w:rPr>
        <w:t>99</w:t>
      </w:r>
      <w:r w:rsidR="008B7F88">
        <w:rPr>
          <w:rFonts w:eastAsiaTheme="majorEastAsia" w:cstheme="majorBidi"/>
          <w:bCs/>
          <w:sz w:val="24"/>
          <w:szCs w:val="24"/>
        </w:rPr>
        <w:t>4</w:t>
      </w:r>
      <w:r w:rsidR="005A446F">
        <w:rPr>
          <w:rFonts w:eastAsiaTheme="majorEastAsia" w:cstheme="majorBidi"/>
          <w:bCs/>
          <w:sz w:val="24"/>
          <w:szCs w:val="24"/>
        </w:rPr>
        <w:t>,</w:t>
      </w:r>
      <w:r w:rsidR="008B7F88">
        <w:rPr>
          <w:rFonts w:eastAsiaTheme="majorEastAsia" w:cstheme="majorBidi"/>
          <w:bCs/>
          <w:sz w:val="24"/>
          <w:szCs w:val="24"/>
        </w:rPr>
        <w:t>94</w:t>
      </w:r>
      <w:r w:rsidRPr="00200E37">
        <w:rPr>
          <w:rFonts w:eastAsiaTheme="majorEastAsia" w:cstheme="majorBidi"/>
          <w:bCs/>
          <w:sz w:val="24"/>
          <w:szCs w:val="24"/>
        </w:rPr>
        <w:t xml:space="preserve"> </w:t>
      </w:r>
      <w:r w:rsidR="008B7F88">
        <w:rPr>
          <w:rFonts w:eastAsiaTheme="majorEastAsia" w:cstheme="majorBidi"/>
          <w:bCs/>
          <w:sz w:val="24"/>
          <w:szCs w:val="24"/>
        </w:rPr>
        <w:t>euro</w:t>
      </w:r>
    </w:p>
    <w:p w:rsidR="008A033B" w:rsidRPr="00200E37" w:rsidRDefault="008A033B" w:rsidP="008A033B">
      <w:pPr>
        <w:pStyle w:val="ListParagraph"/>
        <w:rPr>
          <w:rFonts w:eastAsiaTheme="majorEastAsia" w:cstheme="majorBidi"/>
          <w:bCs/>
          <w:sz w:val="24"/>
          <w:szCs w:val="24"/>
        </w:rPr>
      </w:pPr>
    </w:p>
    <w:p w:rsidR="00FD1F38" w:rsidRPr="00200E37" w:rsidRDefault="00DB5B1E" w:rsidP="00265124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 w:rsidRPr="00BE3C86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promjenama u vrijednosti i obujmu imovine i obveza – Obrazac P-VRIO</w:t>
      </w:r>
      <w:r w:rsidR="00265124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br/>
      </w:r>
    </w:p>
    <w:p w:rsidR="00EC6323" w:rsidRPr="00BA120C" w:rsidRDefault="00E51ED0" w:rsidP="00EC6323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Šifra 9151 – promjene u vrijednosti i obujmu imovine - </w:t>
      </w:r>
      <w:r w:rsidR="00EC6323" w:rsidRPr="00BA120C">
        <w:rPr>
          <w:sz w:val="24"/>
          <w:szCs w:val="24"/>
        </w:rPr>
        <w:t xml:space="preserve"> u 20</w:t>
      </w:r>
      <w:r w:rsidR="00EC6323">
        <w:rPr>
          <w:sz w:val="24"/>
          <w:szCs w:val="24"/>
        </w:rPr>
        <w:t>2</w:t>
      </w:r>
      <w:r w:rsidR="001807F4">
        <w:rPr>
          <w:sz w:val="24"/>
          <w:szCs w:val="24"/>
        </w:rPr>
        <w:t>4</w:t>
      </w:r>
      <w:r w:rsidR="00646572">
        <w:rPr>
          <w:sz w:val="24"/>
          <w:szCs w:val="24"/>
        </w:rPr>
        <w:t>.</w:t>
      </w:r>
      <w:r w:rsidR="00EC6323" w:rsidRPr="00BA120C">
        <w:rPr>
          <w:sz w:val="24"/>
          <w:szCs w:val="24"/>
        </w:rPr>
        <w:t xml:space="preserve"> </w:t>
      </w:r>
      <w:r w:rsidR="001807F4">
        <w:rPr>
          <w:sz w:val="24"/>
          <w:szCs w:val="24"/>
        </w:rPr>
        <w:t>je</w:t>
      </w:r>
      <w:r w:rsidR="00646572">
        <w:rPr>
          <w:sz w:val="24"/>
          <w:szCs w:val="24"/>
        </w:rPr>
        <w:t xml:space="preserve"> bilo </w:t>
      </w:r>
      <w:r>
        <w:rPr>
          <w:sz w:val="24"/>
          <w:szCs w:val="24"/>
        </w:rPr>
        <w:t>promjena</w:t>
      </w:r>
      <w:r w:rsidR="00646572">
        <w:rPr>
          <w:sz w:val="24"/>
          <w:szCs w:val="24"/>
        </w:rPr>
        <w:t xml:space="preserve"> obujma imovine</w:t>
      </w:r>
      <w:r w:rsidR="001807F4">
        <w:rPr>
          <w:sz w:val="24"/>
          <w:szCs w:val="24"/>
        </w:rPr>
        <w:t xml:space="preserve"> u obliku smanjnja pod stavkom Potraživanja za prihode poslovanja.</w:t>
      </w:r>
    </w:p>
    <w:p w:rsidR="00DB5B1E" w:rsidRPr="00BE3C86" w:rsidRDefault="00DB5B1E" w:rsidP="00BE3C86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BE3C86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izvještaj o obvezama – obrazac OBVEZE</w:t>
      </w:r>
    </w:p>
    <w:p w:rsidR="00FD1F38" w:rsidRPr="00200E37" w:rsidRDefault="00FD1F38" w:rsidP="00FD1F38">
      <w:pPr>
        <w:pStyle w:val="ListParagraph"/>
        <w:keepNext/>
        <w:keepLines/>
        <w:spacing w:before="200" w:after="0"/>
        <w:ind w:left="36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E83D0B" w:rsidRDefault="00E51ED0" w:rsidP="00BE3C86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V001 - </w:t>
      </w:r>
      <w:r w:rsidR="00E01F8F">
        <w:rPr>
          <w:rFonts w:eastAsiaTheme="majorEastAsia" w:cstheme="majorBidi"/>
          <w:b/>
          <w:bCs/>
          <w:sz w:val="24"/>
          <w:szCs w:val="24"/>
        </w:rPr>
        <w:t xml:space="preserve"> Stanje obveza 01.siječnja 202</w:t>
      </w:r>
      <w:r w:rsidR="00081757">
        <w:rPr>
          <w:rFonts w:eastAsiaTheme="majorEastAsia" w:cstheme="majorBidi"/>
          <w:b/>
          <w:bCs/>
          <w:sz w:val="24"/>
          <w:szCs w:val="24"/>
        </w:rPr>
        <w:t>4</w:t>
      </w:r>
      <w:r w:rsidR="00812830" w:rsidRPr="00BE3C86">
        <w:rPr>
          <w:rFonts w:eastAsiaTheme="majorEastAsia" w:cstheme="majorBidi"/>
          <w:b/>
          <w:bCs/>
          <w:sz w:val="24"/>
          <w:szCs w:val="24"/>
        </w:rPr>
        <w:t>.</w:t>
      </w:r>
      <w:r w:rsidR="00415A9B" w:rsidRPr="00BE3C86">
        <w:rPr>
          <w:rFonts w:eastAsiaTheme="majorEastAsia" w:cstheme="majorBidi"/>
          <w:bCs/>
          <w:sz w:val="24"/>
          <w:szCs w:val="24"/>
        </w:rPr>
        <w:t xml:space="preserve"> iznosilo je </w:t>
      </w:r>
      <w:r w:rsidR="00081757" w:rsidRPr="00081757">
        <w:rPr>
          <w:rFonts w:eastAsiaTheme="majorEastAsia" w:cstheme="majorBidi"/>
          <w:bCs/>
          <w:sz w:val="24"/>
          <w:szCs w:val="24"/>
        </w:rPr>
        <w:t>11</w:t>
      </w:r>
      <w:r w:rsidR="00081757">
        <w:rPr>
          <w:rFonts w:eastAsiaTheme="majorEastAsia" w:cstheme="majorBidi"/>
          <w:bCs/>
          <w:sz w:val="24"/>
          <w:szCs w:val="24"/>
        </w:rPr>
        <w:t>.</w:t>
      </w:r>
      <w:r w:rsidR="00081757" w:rsidRPr="00081757">
        <w:rPr>
          <w:rFonts w:eastAsiaTheme="majorEastAsia" w:cstheme="majorBidi"/>
          <w:bCs/>
          <w:sz w:val="24"/>
          <w:szCs w:val="24"/>
        </w:rPr>
        <w:t>550,26</w:t>
      </w:r>
      <w:r w:rsidR="00081757">
        <w:rPr>
          <w:rFonts w:eastAsiaTheme="majorEastAsia" w:cstheme="majorBidi"/>
          <w:bCs/>
          <w:sz w:val="24"/>
          <w:szCs w:val="24"/>
        </w:rPr>
        <w:t xml:space="preserve"> </w:t>
      </w:r>
      <w:r w:rsidR="008B7F88">
        <w:rPr>
          <w:rFonts w:eastAsiaTheme="majorEastAsia" w:cstheme="majorBidi"/>
          <w:bCs/>
          <w:sz w:val="24"/>
          <w:szCs w:val="24"/>
        </w:rPr>
        <w:t>eura</w:t>
      </w:r>
      <w:r w:rsidR="00E83D0B" w:rsidRPr="00BE3C86">
        <w:rPr>
          <w:rFonts w:eastAsiaTheme="majorEastAsia" w:cstheme="majorBidi"/>
          <w:bCs/>
          <w:sz w:val="24"/>
          <w:szCs w:val="24"/>
        </w:rPr>
        <w:t xml:space="preserve"> te su sve </w:t>
      </w:r>
      <w:r w:rsidR="00415A9B" w:rsidRPr="00BE3C86">
        <w:rPr>
          <w:rFonts w:eastAsiaTheme="majorEastAsia" w:cstheme="majorBidi"/>
          <w:bCs/>
          <w:sz w:val="24"/>
          <w:szCs w:val="24"/>
        </w:rPr>
        <w:t xml:space="preserve">obveze </w:t>
      </w:r>
      <w:r w:rsidR="00E83D0B" w:rsidRPr="00BE3C86">
        <w:rPr>
          <w:rFonts w:eastAsiaTheme="majorEastAsia" w:cstheme="majorBidi"/>
          <w:bCs/>
          <w:sz w:val="24"/>
          <w:szCs w:val="24"/>
        </w:rPr>
        <w:t xml:space="preserve">podmirene tijekom </w:t>
      </w:r>
      <w:r w:rsidR="00BC683C" w:rsidRPr="00BE3C86">
        <w:rPr>
          <w:rFonts w:eastAsiaTheme="majorEastAsia" w:cstheme="majorBidi"/>
          <w:bCs/>
          <w:sz w:val="24"/>
          <w:szCs w:val="24"/>
        </w:rPr>
        <w:t>20</w:t>
      </w:r>
      <w:r w:rsidR="009D574F">
        <w:rPr>
          <w:rFonts w:eastAsiaTheme="majorEastAsia" w:cstheme="majorBidi"/>
          <w:bCs/>
          <w:sz w:val="24"/>
          <w:szCs w:val="24"/>
        </w:rPr>
        <w:t>2</w:t>
      </w:r>
      <w:r w:rsidR="00081757">
        <w:rPr>
          <w:rFonts w:eastAsiaTheme="majorEastAsia" w:cstheme="majorBidi"/>
          <w:bCs/>
          <w:sz w:val="24"/>
          <w:szCs w:val="24"/>
        </w:rPr>
        <w:t>4</w:t>
      </w:r>
      <w:r w:rsidR="00BC683C" w:rsidRPr="00BE3C86">
        <w:rPr>
          <w:rFonts w:eastAsiaTheme="majorEastAsia" w:cstheme="majorBidi"/>
          <w:bCs/>
          <w:sz w:val="24"/>
          <w:szCs w:val="24"/>
        </w:rPr>
        <w:t>.</w:t>
      </w:r>
      <w:r w:rsidR="00E83D0B" w:rsidRPr="00BE3C86">
        <w:rPr>
          <w:rFonts w:eastAsiaTheme="majorEastAsia" w:cstheme="majorBidi"/>
          <w:bCs/>
          <w:sz w:val="24"/>
          <w:szCs w:val="24"/>
        </w:rPr>
        <w:t xml:space="preserve"> prema rokovima dospijeća.</w:t>
      </w:r>
    </w:p>
    <w:p w:rsidR="00BE3C86" w:rsidRDefault="00E51ED0" w:rsidP="00BE3C86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V006 - </w:t>
      </w:r>
      <w:r w:rsidR="00415A9B" w:rsidRPr="00BE3C86">
        <w:rPr>
          <w:rFonts w:eastAsiaTheme="majorEastAsia" w:cstheme="majorBidi"/>
          <w:b/>
          <w:bCs/>
          <w:sz w:val="24"/>
          <w:szCs w:val="24"/>
        </w:rPr>
        <w:t xml:space="preserve"> Stanje obveza na kraju izvještajnog razdoblja</w:t>
      </w:r>
      <w:r w:rsidR="00415A9B" w:rsidRPr="00BE3C86">
        <w:rPr>
          <w:rFonts w:eastAsiaTheme="majorEastAsia" w:cstheme="majorBidi"/>
          <w:bCs/>
          <w:sz w:val="24"/>
          <w:szCs w:val="24"/>
        </w:rPr>
        <w:t xml:space="preserve"> iznosi</w:t>
      </w:r>
      <w:r w:rsidR="00BE3C86">
        <w:rPr>
          <w:rFonts w:eastAsiaTheme="majorEastAsia" w:cstheme="majorBidi"/>
          <w:bCs/>
          <w:sz w:val="24"/>
          <w:szCs w:val="24"/>
        </w:rPr>
        <w:t xml:space="preserve"> </w:t>
      </w:r>
      <w:r w:rsidR="00081757">
        <w:rPr>
          <w:rFonts w:eastAsiaTheme="majorEastAsia" w:cstheme="majorBidi"/>
          <w:bCs/>
          <w:sz w:val="24"/>
          <w:szCs w:val="24"/>
        </w:rPr>
        <w:t>12.941,97</w:t>
      </w:r>
      <w:r w:rsidR="00E83D0B" w:rsidRPr="00BE3C86">
        <w:rPr>
          <w:rFonts w:eastAsiaTheme="majorEastAsia" w:cstheme="majorBidi"/>
          <w:bCs/>
          <w:sz w:val="24"/>
          <w:szCs w:val="24"/>
        </w:rPr>
        <w:t xml:space="preserve"> </w:t>
      </w:r>
      <w:r w:rsidR="008B7F88">
        <w:rPr>
          <w:rFonts w:eastAsiaTheme="majorEastAsia" w:cstheme="majorBidi"/>
          <w:bCs/>
          <w:sz w:val="24"/>
          <w:szCs w:val="24"/>
        </w:rPr>
        <w:t>eura</w:t>
      </w:r>
      <w:r>
        <w:rPr>
          <w:rFonts w:eastAsiaTheme="majorEastAsia" w:cstheme="majorBidi"/>
          <w:bCs/>
          <w:sz w:val="24"/>
          <w:szCs w:val="24"/>
        </w:rPr>
        <w:t xml:space="preserve"> od čega </w:t>
      </w:r>
      <w:r w:rsidR="008B7F88">
        <w:rPr>
          <w:rFonts w:eastAsiaTheme="majorEastAsia" w:cstheme="majorBidi"/>
          <w:bCs/>
          <w:sz w:val="24"/>
          <w:szCs w:val="24"/>
        </w:rPr>
        <w:t>sve</w:t>
      </w:r>
      <w:r>
        <w:rPr>
          <w:rFonts w:eastAsiaTheme="majorEastAsia" w:cstheme="majorBidi"/>
          <w:bCs/>
          <w:sz w:val="24"/>
          <w:szCs w:val="24"/>
        </w:rPr>
        <w:t xml:space="preserve">  </w:t>
      </w:r>
      <w:r w:rsidR="008B7F88">
        <w:rPr>
          <w:rFonts w:eastAsiaTheme="majorEastAsia" w:cstheme="majorBidi"/>
          <w:bCs/>
          <w:sz w:val="24"/>
          <w:szCs w:val="24"/>
        </w:rPr>
        <w:t xml:space="preserve">spada u nedospjele </w:t>
      </w:r>
      <w:r>
        <w:rPr>
          <w:rFonts w:eastAsiaTheme="majorEastAsia" w:cstheme="majorBidi"/>
          <w:bCs/>
          <w:sz w:val="24"/>
          <w:szCs w:val="24"/>
        </w:rPr>
        <w:t xml:space="preserve">obveza. </w:t>
      </w:r>
    </w:p>
    <w:p w:rsidR="0035730B" w:rsidRDefault="0035730B" w:rsidP="0035730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730B" w:rsidRDefault="0035730B" w:rsidP="00357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U Umagu, </w:t>
      </w:r>
      <w:r w:rsidR="00081757">
        <w:rPr>
          <w:rFonts w:eastAsia="Times New Roman"/>
          <w:bCs/>
          <w:sz w:val="24"/>
          <w:szCs w:val="24"/>
        </w:rPr>
        <w:t>30</w:t>
      </w:r>
      <w:r w:rsidRPr="00530707">
        <w:rPr>
          <w:rFonts w:eastAsia="Times New Roman"/>
          <w:bCs/>
          <w:sz w:val="24"/>
          <w:szCs w:val="24"/>
        </w:rPr>
        <w:t>. siječnja 20</w:t>
      </w:r>
      <w:r>
        <w:rPr>
          <w:rFonts w:eastAsia="Times New Roman"/>
          <w:bCs/>
          <w:sz w:val="24"/>
          <w:szCs w:val="24"/>
        </w:rPr>
        <w:t>2</w:t>
      </w:r>
      <w:r w:rsidR="00081757">
        <w:rPr>
          <w:rFonts w:eastAsia="Times New Roman"/>
          <w:bCs/>
          <w:sz w:val="24"/>
          <w:szCs w:val="24"/>
        </w:rPr>
        <w:t>5</w:t>
      </w:r>
      <w:r w:rsidRPr="00530707">
        <w:rPr>
          <w:rFonts w:eastAsia="Times New Roman"/>
          <w:bCs/>
          <w:sz w:val="24"/>
          <w:szCs w:val="24"/>
        </w:rPr>
        <w:t>. godine.</w:t>
      </w:r>
      <w:r w:rsidRPr="00530707">
        <w:rPr>
          <w:rFonts w:eastAsia="Times New Roman"/>
          <w:bCs/>
          <w:sz w:val="24"/>
          <w:szCs w:val="24"/>
        </w:rPr>
        <w:tab/>
      </w:r>
    </w:p>
    <w:p w:rsidR="00145FAC" w:rsidRDefault="00BD0EDC" w:rsidP="00145FAC">
      <w:pPr>
        <w:ind w:left="7080"/>
        <w:jc w:val="both"/>
        <w:rPr>
          <w:rFonts w:eastAsiaTheme="majorEastAsia" w:cstheme="majorBidi"/>
          <w:bCs/>
          <w:sz w:val="24"/>
          <w:szCs w:val="24"/>
        </w:rPr>
      </w:pPr>
      <w:r w:rsidRPr="00200E37">
        <w:rPr>
          <w:rFonts w:eastAsiaTheme="majorEastAsia" w:cstheme="majorBidi"/>
          <w:bCs/>
          <w:sz w:val="24"/>
          <w:szCs w:val="24"/>
        </w:rPr>
        <w:tab/>
      </w:r>
      <w:r w:rsidRPr="00200E37">
        <w:rPr>
          <w:rFonts w:eastAsiaTheme="majorEastAsia" w:cstheme="majorBidi"/>
          <w:bCs/>
          <w:sz w:val="24"/>
          <w:szCs w:val="24"/>
        </w:rPr>
        <w:tab/>
      </w:r>
      <w:r w:rsidRPr="00200E37">
        <w:rPr>
          <w:rFonts w:eastAsiaTheme="majorEastAsia" w:cstheme="majorBidi"/>
          <w:bCs/>
          <w:sz w:val="24"/>
          <w:szCs w:val="24"/>
        </w:rPr>
        <w:tab/>
      </w:r>
      <w:r w:rsidR="005A6336">
        <w:rPr>
          <w:rFonts w:eastAsiaTheme="majorEastAsia" w:cstheme="majorBidi"/>
          <w:bCs/>
          <w:sz w:val="24"/>
          <w:szCs w:val="24"/>
        </w:rPr>
        <w:tab/>
      </w:r>
      <w:r w:rsidR="00265124">
        <w:rPr>
          <w:rFonts w:eastAsiaTheme="majorEastAsia" w:cstheme="majorBidi"/>
          <w:bCs/>
          <w:sz w:val="24"/>
          <w:szCs w:val="24"/>
        </w:rPr>
        <w:t xml:space="preserve">                                                                                           </w:t>
      </w:r>
      <w:r w:rsidR="00145FAC">
        <w:rPr>
          <w:rFonts w:eastAsiaTheme="majorEastAsia" w:cstheme="majorBidi"/>
          <w:bCs/>
          <w:sz w:val="24"/>
          <w:szCs w:val="24"/>
        </w:rPr>
        <w:t xml:space="preserve">             Ravnateljica:</w:t>
      </w:r>
      <w:r w:rsidR="00145FAC">
        <w:rPr>
          <w:rFonts w:eastAsiaTheme="majorEastAsia" w:cstheme="majorBidi"/>
          <w:bCs/>
          <w:sz w:val="24"/>
          <w:szCs w:val="24"/>
        </w:rPr>
        <w:tab/>
      </w:r>
    </w:p>
    <w:p w:rsidR="00FD1F38" w:rsidRPr="00BE3C86" w:rsidRDefault="00BD0EDC" w:rsidP="00145FAC">
      <w:pPr>
        <w:ind w:left="7080"/>
        <w:jc w:val="both"/>
        <w:rPr>
          <w:rFonts w:eastAsiaTheme="majorEastAsia" w:cstheme="majorBidi"/>
          <w:bCs/>
          <w:sz w:val="24"/>
          <w:szCs w:val="24"/>
        </w:rPr>
      </w:pPr>
      <w:bookmarkStart w:id="1" w:name="_GoBack"/>
      <w:bookmarkEnd w:id="1"/>
      <w:r w:rsidRPr="00BE3C86">
        <w:rPr>
          <w:rFonts w:eastAsiaTheme="majorEastAsia" w:cstheme="majorBidi"/>
          <w:bCs/>
          <w:sz w:val="24"/>
          <w:szCs w:val="24"/>
        </w:rPr>
        <w:t>Tatjana Vujić</w:t>
      </w:r>
    </w:p>
    <w:sectPr w:rsidR="00FD1F38" w:rsidRPr="00BE3C86" w:rsidSect="00265124">
      <w:footerReference w:type="defaul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C9" w:rsidRDefault="00365BC9" w:rsidP="006404CB">
      <w:pPr>
        <w:spacing w:after="0" w:line="240" w:lineRule="auto"/>
      </w:pPr>
      <w:r>
        <w:separator/>
      </w:r>
    </w:p>
  </w:endnote>
  <w:endnote w:type="continuationSeparator" w:id="0">
    <w:p w:rsidR="00365BC9" w:rsidRDefault="00365BC9" w:rsidP="0064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B62" w:rsidRDefault="00D70B62">
    <w:pPr>
      <w:pStyle w:val="Footer"/>
      <w:jc w:val="right"/>
    </w:pPr>
  </w:p>
  <w:p w:rsidR="00D70B62" w:rsidRDefault="00D70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C9" w:rsidRDefault="00365BC9" w:rsidP="006404CB">
      <w:pPr>
        <w:spacing w:after="0" w:line="240" w:lineRule="auto"/>
      </w:pPr>
      <w:r>
        <w:separator/>
      </w:r>
    </w:p>
  </w:footnote>
  <w:footnote w:type="continuationSeparator" w:id="0">
    <w:p w:rsidR="00365BC9" w:rsidRDefault="00365BC9" w:rsidP="0064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ACC"/>
    <w:multiLevelType w:val="multilevel"/>
    <w:tmpl w:val="8AC2D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4A7C40E2"/>
    <w:multiLevelType w:val="hybridMultilevel"/>
    <w:tmpl w:val="4FC6D550"/>
    <w:lvl w:ilvl="0" w:tplc="CE3444E4">
      <w:start w:val="1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91C"/>
    <w:multiLevelType w:val="multilevel"/>
    <w:tmpl w:val="8C66A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</w:rPr>
    </w:lvl>
  </w:abstractNum>
  <w:abstractNum w:abstractNumId="5" w15:restartNumberingAfterBreak="0">
    <w:nsid w:val="4CFF08C0"/>
    <w:multiLevelType w:val="hybridMultilevel"/>
    <w:tmpl w:val="49F6C8F2"/>
    <w:lvl w:ilvl="0" w:tplc="F146CC32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F730A"/>
    <w:multiLevelType w:val="multilevel"/>
    <w:tmpl w:val="4CB8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/>
      </w:rPr>
    </w:lvl>
  </w:abstractNum>
  <w:abstractNum w:abstractNumId="7" w15:restartNumberingAfterBreak="0">
    <w:nsid w:val="5AC02E61"/>
    <w:multiLevelType w:val="multilevel"/>
    <w:tmpl w:val="0FE4E98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5AD5"/>
    <w:multiLevelType w:val="multilevel"/>
    <w:tmpl w:val="CAF6E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7CD13613"/>
    <w:multiLevelType w:val="multilevel"/>
    <w:tmpl w:val="CA1412D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16"/>
    <w:rsid w:val="00024908"/>
    <w:rsid w:val="0003364E"/>
    <w:rsid w:val="000466C5"/>
    <w:rsid w:val="00054744"/>
    <w:rsid w:val="00055B21"/>
    <w:rsid w:val="00081757"/>
    <w:rsid w:val="00084AA3"/>
    <w:rsid w:val="00092380"/>
    <w:rsid w:val="000B2BDF"/>
    <w:rsid w:val="000B2CDF"/>
    <w:rsid w:val="000B6B62"/>
    <w:rsid w:val="000E1523"/>
    <w:rsid w:val="00110E8E"/>
    <w:rsid w:val="00111200"/>
    <w:rsid w:val="0013405C"/>
    <w:rsid w:val="00143706"/>
    <w:rsid w:val="00145FAC"/>
    <w:rsid w:val="00164CA3"/>
    <w:rsid w:val="001807F4"/>
    <w:rsid w:val="001C69A5"/>
    <w:rsid w:val="001D1E2E"/>
    <w:rsid w:val="001F2564"/>
    <w:rsid w:val="001F5D33"/>
    <w:rsid w:val="00200E37"/>
    <w:rsid w:val="0021796F"/>
    <w:rsid w:val="002225AB"/>
    <w:rsid w:val="0023766D"/>
    <w:rsid w:val="00243818"/>
    <w:rsid w:val="00265124"/>
    <w:rsid w:val="002823C2"/>
    <w:rsid w:val="002868FE"/>
    <w:rsid w:val="002929C7"/>
    <w:rsid w:val="002A10E6"/>
    <w:rsid w:val="002A461D"/>
    <w:rsid w:val="002B739B"/>
    <w:rsid w:val="002C5C23"/>
    <w:rsid w:val="002D2FAF"/>
    <w:rsid w:val="002E53B2"/>
    <w:rsid w:val="002F2C96"/>
    <w:rsid w:val="002F79DF"/>
    <w:rsid w:val="00307F7A"/>
    <w:rsid w:val="003123AA"/>
    <w:rsid w:val="003275CE"/>
    <w:rsid w:val="00331870"/>
    <w:rsid w:val="0035730B"/>
    <w:rsid w:val="003637A7"/>
    <w:rsid w:val="00363915"/>
    <w:rsid w:val="00365BC9"/>
    <w:rsid w:val="00367FE8"/>
    <w:rsid w:val="0037568A"/>
    <w:rsid w:val="003960BD"/>
    <w:rsid w:val="003A44D6"/>
    <w:rsid w:val="003A7AB8"/>
    <w:rsid w:val="003E167E"/>
    <w:rsid w:val="003F40E4"/>
    <w:rsid w:val="00405F8C"/>
    <w:rsid w:val="00415A9B"/>
    <w:rsid w:val="00433AB3"/>
    <w:rsid w:val="0043407D"/>
    <w:rsid w:val="00440B31"/>
    <w:rsid w:val="004563A3"/>
    <w:rsid w:val="00490174"/>
    <w:rsid w:val="004A177D"/>
    <w:rsid w:val="004B2575"/>
    <w:rsid w:val="004B3742"/>
    <w:rsid w:val="004B3CEF"/>
    <w:rsid w:val="004C2DDA"/>
    <w:rsid w:val="004D1BA6"/>
    <w:rsid w:val="004D42A1"/>
    <w:rsid w:val="005151E5"/>
    <w:rsid w:val="00562835"/>
    <w:rsid w:val="00574BC6"/>
    <w:rsid w:val="005906DF"/>
    <w:rsid w:val="005A446F"/>
    <w:rsid w:val="005A6336"/>
    <w:rsid w:val="005C07A1"/>
    <w:rsid w:val="005F338C"/>
    <w:rsid w:val="006011CA"/>
    <w:rsid w:val="00613111"/>
    <w:rsid w:val="00626625"/>
    <w:rsid w:val="006404CB"/>
    <w:rsid w:val="00646572"/>
    <w:rsid w:val="00654754"/>
    <w:rsid w:val="0065489E"/>
    <w:rsid w:val="00654C5E"/>
    <w:rsid w:val="0069079E"/>
    <w:rsid w:val="006B2BD2"/>
    <w:rsid w:val="006C13DB"/>
    <w:rsid w:val="006F4A84"/>
    <w:rsid w:val="007044A1"/>
    <w:rsid w:val="0076527A"/>
    <w:rsid w:val="00773D97"/>
    <w:rsid w:val="007A4D16"/>
    <w:rsid w:val="007E35AF"/>
    <w:rsid w:val="007F5B60"/>
    <w:rsid w:val="00812830"/>
    <w:rsid w:val="008350EC"/>
    <w:rsid w:val="00837A5D"/>
    <w:rsid w:val="008469FF"/>
    <w:rsid w:val="0087351C"/>
    <w:rsid w:val="008844A2"/>
    <w:rsid w:val="00886DD8"/>
    <w:rsid w:val="008A033B"/>
    <w:rsid w:val="008B6774"/>
    <w:rsid w:val="008B7F88"/>
    <w:rsid w:val="008C7DD8"/>
    <w:rsid w:val="008D2654"/>
    <w:rsid w:val="008D44AF"/>
    <w:rsid w:val="00905F08"/>
    <w:rsid w:val="00915A7D"/>
    <w:rsid w:val="00921128"/>
    <w:rsid w:val="009419C1"/>
    <w:rsid w:val="00957AEC"/>
    <w:rsid w:val="00971039"/>
    <w:rsid w:val="00974C50"/>
    <w:rsid w:val="00990152"/>
    <w:rsid w:val="009A76D7"/>
    <w:rsid w:val="009B2F36"/>
    <w:rsid w:val="009C2C3F"/>
    <w:rsid w:val="009D574F"/>
    <w:rsid w:val="009E0FF1"/>
    <w:rsid w:val="009E54EB"/>
    <w:rsid w:val="009F22DF"/>
    <w:rsid w:val="00A068D1"/>
    <w:rsid w:val="00A12C18"/>
    <w:rsid w:val="00A33588"/>
    <w:rsid w:val="00A3654C"/>
    <w:rsid w:val="00A36B7B"/>
    <w:rsid w:val="00A47F09"/>
    <w:rsid w:val="00A62208"/>
    <w:rsid w:val="00A73089"/>
    <w:rsid w:val="00A75017"/>
    <w:rsid w:val="00A77B1D"/>
    <w:rsid w:val="00AB3420"/>
    <w:rsid w:val="00AC0274"/>
    <w:rsid w:val="00AC3754"/>
    <w:rsid w:val="00AD40A2"/>
    <w:rsid w:val="00AD5CBD"/>
    <w:rsid w:val="00AE7315"/>
    <w:rsid w:val="00B410BB"/>
    <w:rsid w:val="00B704D4"/>
    <w:rsid w:val="00B7106F"/>
    <w:rsid w:val="00B7371D"/>
    <w:rsid w:val="00B82A3E"/>
    <w:rsid w:val="00B934E9"/>
    <w:rsid w:val="00B93EB1"/>
    <w:rsid w:val="00BC4BA9"/>
    <w:rsid w:val="00BC683C"/>
    <w:rsid w:val="00BC7A14"/>
    <w:rsid w:val="00BD05C7"/>
    <w:rsid w:val="00BD0EDC"/>
    <w:rsid w:val="00BE3C86"/>
    <w:rsid w:val="00BF7579"/>
    <w:rsid w:val="00C31F84"/>
    <w:rsid w:val="00C35254"/>
    <w:rsid w:val="00C56E52"/>
    <w:rsid w:val="00C647F9"/>
    <w:rsid w:val="00C7194A"/>
    <w:rsid w:val="00C75DDF"/>
    <w:rsid w:val="00C77D57"/>
    <w:rsid w:val="00C8608A"/>
    <w:rsid w:val="00C957E2"/>
    <w:rsid w:val="00CA568E"/>
    <w:rsid w:val="00CB004E"/>
    <w:rsid w:val="00CB561A"/>
    <w:rsid w:val="00CC19B2"/>
    <w:rsid w:val="00CE4EE8"/>
    <w:rsid w:val="00D13EEF"/>
    <w:rsid w:val="00D319C9"/>
    <w:rsid w:val="00D32A17"/>
    <w:rsid w:val="00D371DF"/>
    <w:rsid w:val="00D52562"/>
    <w:rsid w:val="00D55F3D"/>
    <w:rsid w:val="00D70B62"/>
    <w:rsid w:val="00D764D9"/>
    <w:rsid w:val="00DB5B1E"/>
    <w:rsid w:val="00DC38D5"/>
    <w:rsid w:val="00DD0297"/>
    <w:rsid w:val="00DE6D67"/>
    <w:rsid w:val="00E01F8F"/>
    <w:rsid w:val="00E155E8"/>
    <w:rsid w:val="00E24B97"/>
    <w:rsid w:val="00E35A45"/>
    <w:rsid w:val="00E46458"/>
    <w:rsid w:val="00E51ED0"/>
    <w:rsid w:val="00E70B56"/>
    <w:rsid w:val="00E72F99"/>
    <w:rsid w:val="00E83D0B"/>
    <w:rsid w:val="00E87FBF"/>
    <w:rsid w:val="00EB0009"/>
    <w:rsid w:val="00EC6323"/>
    <w:rsid w:val="00EF1ACB"/>
    <w:rsid w:val="00F222B3"/>
    <w:rsid w:val="00F354E2"/>
    <w:rsid w:val="00F549B5"/>
    <w:rsid w:val="00FA2467"/>
    <w:rsid w:val="00FA36B4"/>
    <w:rsid w:val="00FB40EF"/>
    <w:rsid w:val="00FB5A64"/>
    <w:rsid w:val="00FB731A"/>
    <w:rsid w:val="00FC2563"/>
    <w:rsid w:val="00FC3028"/>
    <w:rsid w:val="00FD1F38"/>
    <w:rsid w:val="00FE7BD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41B07-8DC0-406E-908A-3446A4A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CB"/>
  </w:style>
  <w:style w:type="paragraph" w:styleId="Footer">
    <w:name w:val="footer"/>
    <w:basedOn w:val="Normal"/>
    <w:link w:val="FooterChar"/>
    <w:uiPriority w:val="99"/>
    <w:unhideWhenUsed/>
    <w:rsid w:val="0064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CB"/>
  </w:style>
  <w:style w:type="paragraph" w:styleId="BalloonText">
    <w:name w:val="Balloon Text"/>
    <w:basedOn w:val="Normal"/>
    <w:link w:val="BalloonTextChar"/>
    <w:uiPriority w:val="99"/>
    <w:semiHidden/>
    <w:unhideWhenUsed/>
    <w:rsid w:val="00EB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09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C8608A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985E-B37B-44E6-BA1F-E390A0E4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Microsoft account</cp:lastModifiedBy>
  <cp:revision>3</cp:revision>
  <cp:lastPrinted>2023-01-27T16:49:00Z</cp:lastPrinted>
  <dcterms:created xsi:type="dcterms:W3CDTF">2025-01-30T13:15:00Z</dcterms:created>
  <dcterms:modified xsi:type="dcterms:W3CDTF">2025-02-04T13:43:00Z</dcterms:modified>
</cp:coreProperties>
</file>